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4.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5.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6.xml" ContentType="application/vnd.openxmlformats-officedocument.drawingml.chart+xml"/>
  <Override PartName="/word/charts/style4.xml" ContentType="application/vnd.ms-office.chartstyle+xml"/>
  <Override PartName="/word/charts/colors4.xml" ContentType="application/vnd.ms-office.chartcolorstyle+xml"/>
  <Override PartName="/word/header1.xml" ContentType="application/vnd.openxmlformats-officedocument.wordprocessingml.header+xml"/>
  <Override PartName="/word/header2.xml" ContentType="application/vnd.openxmlformats-officedocument.wordprocessingml.header+xml"/>
  <Override PartName="/word/charts/chart7.xml" ContentType="application/vnd.openxmlformats-officedocument.drawingml.chart+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EB2378" w14:textId="6BAF1453" w:rsidR="00EA6C38" w:rsidRPr="006E473F" w:rsidRDefault="00EA6C38" w:rsidP="005F7646">
      <w:pPr>
        <w:pStyle w:val="CRCoverPage"/>
        <w:tabs>
          <w:tab w:val="right" w:pos="9639"/>
        </w:tabs>
        <w:spacing w:before="0" w:after="0" w:line="240" w:lineRule="auto"/>
        <w:rPr>
          <w:b/>
          <w:i/>
          <w:noProof/>
          <w:sz w:val="24"/>
          <w:szCs w:val="24"/>
          <w:lang w:eastAsia="ko-KR"/>
        </w:rPr>
      </w:pPr>
      <w:bookmarkStart w:id="0" w:name="OLE_LINK1"/>
      <w:bookmarkStart w:id="1" w:name="OLE_LINK2"/>
      <w:r w:rsidRPr="006E473F">
        <w:rPr>
          <w:b/>
          <w:sz w:val="24"/>
          <w:szCs w:val="24"/>
        </w:rPr>
        <w:t xml:space="preserve">3GPP TSG </w:t>
      </w:r>
      <w:r w:rsidRPr="006E473F">
        <w:rPr>
          <w:rFonts w:hint="eastAsia"/>
          <w:b/>
          <w:sz w:val="24"/>
          <w:szCs w:val="24"/>
          <w:lang w:eastAsia="ko-KR"/>
        </w:rPr>
        <w:t xml:space="preserve">RAN WG1 </w:t>
      </w:r>
      <w:r w:rsidR="00A865E3">
        <w:rPr>
          <w:b/>
          <w:sz w:val="24"/>
          <w:szCs w:val="24"/>
          <w:lang w:eastAsia="ko-KR"/>
        </w:rPr>
        <w:t>Meeting #8</w:t>
      </w:r>
      <w:r w:rsidR="00A850CC">
        <w:rPr>
          <w:b/>
          <w:sz w:val="24"/>
          <w:szCs w:val="24"/>
          <w:lang w:eastAsia="ko-KR"/>
        </w:rPr>
        <w:t>9</w:t>
      </w:r>
      <w:r w:rsidRPr="006E473F">
        <w:rPr>
          <w:rFonts w:hint="eastAsia"/>
          <w:b/>
          <w:sz w:val="24"/>
          <w:szCs w:val="24"/>
          <w:lang w:eastAsia="ko-KR"/>
        </w:rPr>
        <w:tab/>
      </w:r>
      <w:r w:rsidRPr="006E473F">
        <w:rPr>
          <w:rFonts w:hint="eastAsia"/>
          <w:b/>
          <w:i/>
          <w:sz w:val="24"/>
          <w:szCs w:val="24"/>
          <w:lang w:eastAsia="ko-KR"/>
        </w:rPr>
        <w:t>R1-</w:t>
      </w:r>
      <w:r w:rsidR="00815EBF">
        <w:rPr>
          <w:b/>
          <w:i/>
          <w:noProof/>
          <w:sz w:val="24"/>
          <w:szCs w:val="24"/>
          <w:lang w:eastAsia="ko-KR"/>
        </w:rPr>
        <w:t>17</w:t>
      </w:r>
      <w:r w:rsidR="0045599F" w:rsidRPr="00446630">
        <w:rPr>
          <w:b/>
          <w:i/>
          <w:sz w:val="24"/>
          <w:szCs w:val="24"/>
          <w:lang w:eastAsia="ko-KR"/>
        </w:rPr>
        <w:t>0</w:t>
      </w:r>
      <w:r w:rsidR="0063010B">
        <w:rPr>
          <w:b/>
          <w:i/>
          <w:sz w:val="24"/>
          <w:szCs w:val="24"/>
          <w:lang w:eastAsia="ko-KR"/>
        </w:rPr>
        <w:t>7965</w:t>
      </w:r>
    </w:p>
    <w:bookmarkEnd w:id="0"/>
    <w:bookmarkEnd w:id="1"/>
    <w:p w14:paraId="213F3CE9" w14:textId="77777777" w:rsidR="00A850CC" w:rsidRDefault="00A850CC" w:rsidP="00A850CC">
      <w:pPr>
        <w:tabs>
          <w:tab w:val="left" w:pos="1985"/>
        </w:tabs>
        <w:ind w:left="2048" w:hangingChars="850" w:hanging="2048"/>
        <w:rPr>
          <w:rFonts w:ascii="Arial" w:eastAsia="MS Mincho" w:hAnsi="Arial" w:cs="Arial"/>
          <w:b/>
          <w:bCs/>
          <w:sz w:val="24"/>
          <w:lang w:val="en-US" w:eastAsia="ja-JP"/>
        </w:rPr>
      </w:pPr>
      <w:r>
        <w:rPr>
          <w:rFonts w:ascii="Arial" w:eastAsia="MS Mincho" w:hAnsi="Arial" w:cs="Arial"/>
          <w:b/>
          <w:bCs/>
          <w:sz w:val="24"/>
          <w:lang w:val="en-US" w:eastAsia="ja-JP"/>
        </w:rPr>
        <w:t>Hangzhou, China</w:t>
      </w:r>
      <w:r w:rsidRPr="00813B43">
        <w:rPr>
          <w:rFonts w:ascii="Arial" w:eastAsia="MS Mincho" w:hAnsi="Arial" w:cs="Arial"/>
          <w:b/>
          <w:bCs/>
          <w:sz w:val="24"/>
          <w:lang w:val="en-US" w:eastAsia="ja-JP"/>
        </w:rPr>
        <w:t xml:space="preserve"> </w:t>
      </w:r>
      <w:r>
        <w:rPr>
          <w:rFonts w:ascii="Arial" w:eastAsia="MS Mincho" w:hAnsi="Arial" w:cs="Arial"/>
          <w:b/>
          <w:bCs/>
          <w:sz w:val="24"/>
          <w:lang w:val="en-US" w:eastAsia="ja-JP"/>
        </w:rPr>
        <w:t>15</w:t>
      </w:r>
      <w:r w:rsidRPr="002F4A81">
        <w:rPr>
          <w:rFonts w:ascii="Arial" w:eastAsia="MS Mincho" w:hAnsi="Arial" w:cs="Arial"/>
          <w:b/>
          <w:bCs/>
          <w:sz w:val="24"/>
          <w:vertAlign w:val="superscript"/>
          <w:lang w:val="en-US" w:eastAsia="ja-JP"/>
        </w:rPr>
        <w:t>th</w:t>
      </w:r>
      <w:r>
        <w:rPr>
          <w:rFonts w:ascii="Arial" w:eastAsia="MS Mincho" w:hAnsi="Arial" w:cs="Arial"/>
          <w:b/>
          <w:bCs/>
          <w:sz w:val="24"/>
          <w:lang w:val="en-US" w:eastAsia="ja-JP"/>
        </w:rPr>
        <w:t xml:space="preserve"> –</w:t>
      </w:r>
      <w:r w:rsidRPr="00813B43">
        <w:rPr>
          <w:rFonts w:ascii="Arial" w:eastAsia="MS Mincho" w:hAnsi="Arial" w:cs="Arial"/>
          <w:b/>
          <w:bCs/>
          <w:sz w:val="24"/>
          <w:lang w:val="en-US" w:eastAsia="ja-JP"/>
        </w:rPr>
        <w:t xml:space="preserve"> </w:t>
      </w:r>
      <w:r>
        <w:rPr>
          <w:rFonts w:ascii="Arial" w:eastAsia="MS Mincho" w:hAnsi="Arial" w:cs="Arial"/>
          <w:b/>
          <w:bCs/>
          <w:sz w:val="24"/>
          <w:lang w:val="en-US" w:eastAsia="ja-JP"/>
        </w:rPr>
        <w:t>19</w:t>
      </w:r>
      <w:r w:rsidRPr="002F4A81">
        <w:rPr>
          <w:rFonts w:ascii="Arial" w:eastAsia="MS Mincho" w:hAnsi="Arial" w:cs="Arial"/>
          <w:b/>
          <w:bCs/>
          <w:sz w:val="24"/>
          <w:vertAlign w:val="superscript"/>
          <w:lang w:val="en-US" w:eastAsia="ja-JP"/>
        </w:rPr>
        <w:t>th</w:t>
      </w:r>
      <w:r>
        <w:rPr>
          <w:rFonts w:ascii="Arial" w:eastAsia="MS Mincho" w:hAnsi="Arial" w:cs="Arial"/>
          <w:b/>
          <w:bCs/>
          <w:sz w:val="24"/>
          <w:lang w:val="en-US" w:eastAsia="ja-JP"/>
        </w:rPr>
        <w:t xml:space="preserve"> May</w:t>
      </w:r>
      <w:r w:rsidRPr="00813B43">
        <w:rPr>
          <w:rFonts w:ascii="Arial" w:eastAsia="MS Mincho" w:hAnsi="Arial" w:cs="Arial"/>
          <w:b/>
          <w:bCs/>
          <w:sz w:val="24"/>
          <w:lang w:val="en-US" w:eastAsia="ja-JP"/>
        </w:rPr>
        <w:t xml:space="preserve"> </w:t>
      </w:r>
      <w:r w:rsidRPr="00815EBF">
        <w:rPr>
          <w:rFonts w:ascii="Arial" w:eastAsia="MS Mincho" w:hAnsi="Arial" w:cs="Arial"/>
          <w:b/>
          <w:bCs/>
          <w:sz w:val="24"/>
          <w:lang w:val="en-US" w:eastAsia="ja-JP"/>
        </w:rPr>
        <w:t>2017</w:t>
      </w:r>
    </w:p>
    <w:p w14:paraId="1511A1CA" w14:textId="1E2DD19F" w:rsidR="0072162A" w:rsidRDefault="0072162A" w:rsidP="00814155">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2" w:name="Source"/>
      <w:bookmarkEnd w:id="2"/>
      <w:r w:rsidR="00A850CC">
        <w:rPr>
          <w:rFonts w:ascii="Arial" w:hAnsi="Arial"/>
          <w:sz w:val="24"/>
        </w:rPr>
        <w:t>7</w:t>
      </w:r>
      <w:r w:rsidR="00B021C4">
        <w:rPr>
          <w:rFonts w:ascii="Arial" w:hAnsi="Arial"/>
          <w:sz w:val="24"/>
          <w:lang w:eastAsia="ko-KR"/>
        </w:rPr>
        <w:t>.1.</w:t>
      </w:r>
      <w:r w:rsidR="00815EBF">
        <w:rPr>
          <w:rFonts w:ascii="Arial" w:hAnsi="Arial"/>
          <w:sz w:val="24"/>
          <w:lang w:eastAsia="ko-KR"/>
        </w:rPr>
        <w:t>2.</w:t>
      </w:r>
      <w:r w:rsidR="00332A23">
        <w:rPr>
          <w:rFonts w:ascii="Arial" w:hAnsi="Arial"/>
          <w:sz w:val="24"/>
          <w:lang w:eastAsia="ko-KR"/>
        </w:rPr>
        <w:t>3.5</w:t>
      </w:r>
    </w:p>
    <w:p w14:paraId="6078831F" w14:textId="77777777" w:rsidR="0072162A" w:rsidRDefault="0072162A" w:rsidP="00814155">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0A4B13B5" w14:textId="768BC38F" w:rsidR="0072162A" w:rsidRPr="00326C84" w:rsidRDefault="0072162A" w:rsidP="00814155">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326C84" w:rsidRPr="00326C84">
        <w:rPr>
          <w:rFonts w:ascii="Arial" w:hAnsi="Arial"/>
          <w:sz w:val="24"/>
        </w:rPr>
        <w:t>System-level evaluation for Type II CSI</w:t>
      </w:r>
    </w:p>
    <w:p w14:paraId="7D3FB941" w14:textId="77777777" w:rsidR="0072162A" w:rsidRDefault="0072162A" w:rsidP="00814155">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r>
      <w:bookmarkStart w:id="3" w:name="DocumentFor"/>
      <w:bookmarkEnd w:id="3"/>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10B2DCCA" w14:textId="77777777" w:rsidR="0072162A" w:rsidRPr="002958FD" w:rsidRDefault="0072162A" w:rsidP="002958FD">
      <w:pPr>
        <w:pStyle w:val="Heading1"/>
      </w:pPr>
      <w:r w:rsidRPr="002958FD">
        <w:t>I</w:t>
      </w:r>
      <w:r w:rsidRPr="002958FD">
        <w:rPr>
          <w:rFonts w:hint="eastAsia"/>
        </w:rPr>
        <w:t>ntroduction</w:t>
      </w:r>
    </w:p>
    <w:p w14:paraId="6C279EA4" w14:textId="77777777" w:rsidR="005A6772" w:rsidRDefault="005A6772" w:rsidP="005A6772">
      <w:pPr>
        <w:snapToGrid w:val="0"/>
        <w:rPr>
          <w:lang w:val="en-US"/>
        </w:rPr>
      </w:pPr>
      <w:r w:rsidRPr="003B3CE2">
        <w:rPr>
          <w:lang w:val="en-US"/>
        </w:rPr>
        <w:t>In RAN #7</w:t>
      </w:r>
      <w:r>
        <w:rPr>
          <w:lang w:val="en-US"/>
        </w:rPr>
        <w:t>5</w:t>
      </w:r>
      <w:r w:rsidRPr="003B3CE2">
        <w:rPr>
          <w:lang w:val="en-US"/>
        </w:rPr>
        <w:t xml:space="preserve">, a new WID related to </w:t>
      </w:r>
      <w:r>
        <w:rPr>
          <w:lang w:val="en-US"/>
        </w:rPr>
        <w:t>new radio (NR)</w:t>
      </w:r>
      <w:r w:rsidRPr="003B3CE2">
        <w:rPr>
          <w:lang w:val="en-US"/>
        </w:rPr>
        <w:t xml:space="preserve"> has been approved [1]. The objective of the </w:t>
      </w:r>
      <w:r>
        <w:rPr>
          <w:lang w:val="en-US"/>
        </w:rPr>
        <w:t>NR</w:t>
      </w:r>
      <w:r w:rsidRPr="003B3CE2">
        <w:rPr>
          <w:lang w:val="en-US"/>
        </w:rPr>
        <w:t xml:space="preserve"> WID as captured in [1] includes the following (copied from Section 4.1 of [1]).</w:t>
      </w:r>
    </w:p>
    <w:tbl>
      <w:tblPr>
        <w:tblStyle w:val="TableGrid"/>
        <w:tblW w:w="0" w:type="auto"/>
        <w:tblLook w:val="04A0" w:firstRow="1" w:lastRow="0" w:firstColumn="1" w:lastColumn="0" w:noHBand="0" w:noVBand="1"/>
      </w:tblPr>
      <w:tblGrid>
        <w:gridCol w:w="9629"/>
      </w:tblGrid>
      <w:tr w:rsidR="004A53B5" w14:paraId="7C940508" w14:textId="77777777" w:rsidTr="00A962F4">
        <w:tc>
          <w:tcPr>
            <w:tcW w:w="9629" w:type="dxa"/>
          </w:tcPr>
          <w:p w14:paraId="7FEDB295" w14:textId="77777777" w:rsidR="004A53B5" w:rsidRPr="00E036CB" w:rsidRDefault="004A53B5" w:rsidP="00A962F4">
            <w:pPr>
              <w:spacing w:after="0"/>
              <w:rPr>
                <w:bCs/>
                <w:lang w:eastAsia="ja-JP"/>
              </w:rPr>
            </w:pPr>
            <w:r w:rsidRPr="00E036CB">
              <w:rPr>
                <w:bCs/>
              </w:rPr>
              <w:t>According to the outcome of the study item, the NR should specify the followings [TR38.912]</w:t>
            </w:r>
            <w:r w:rsidRPr="00E036CB">
              <w:rPr>
                <w:rFonts w:hint="eastAsia"/>
                <w:bCs/>
                <w:lang w:eastAsia="ja-JP"/>
              </w:rPr>
              <w:t>:</w:t>
            </w:r>
          </w:p>
          <w:p w14:paraId="5CE8F4AA" w14:textId="77777777" w:rsidR="004A53B5" w:rsidRPr="00E036CB" w:rsidRDefault="004A53B5" w:rsidP="00A962F4">
            <w:pPr>
              <w:pStyle w:val="B1"/>
              <w:rPr>
                <w:lang w:eastAsia="ja-JP"/>
              </w:rPr>
            </w:pPr>
            <w:r w:rsidRPr="00E036CB">
              <w:rPr>
                <w:rFonts w:hint="eastAsia"/>
                <w:lang w:eastAsia="ja-JP"/>
              </w:rPr>
              <w:t>-</w:t>
            </w:r>
            <w:r w:rsidRPr="00E036CB">
              <w:rPr>
                <w:rFonts w:hint="eastAsia"/>
                <w:lang w:eastAsia="ja-JP"/>
              </w:rPr>
              <w:tab/>
              <w:t>Physical layer aspects</w:t>
            </w:r>
            <w:r w:rsidRPr="00E036CB">
              <w:rPr>
                <w:lang w:eastAsia="ja-JP"/>
              </w:rPr>
              <w:t xml:space="preserve"> including [RAN1]</w:t>
            </w:r>
            <w:r w:rsidRPr="00E036CB">
              <w:rPr>
                <w:rFonts w:hint="eastAsia"/>
                <w:lang w:eastAsia="ja-JP"/>
              </w:rPr>
              <w:t>:</w:t>
            </w:r>
          </w:p>
          <w:p w14:paraId="6FFF0562" w14:textId="77777777" w:rsidR="004A53B5" w:rsidRPr="00E036CB" w:rsidRDefault="004A53B5" w:rsidP="00A962F4">
            <w:pPr>
              <w:pStyle w:val="B2"/>
              <w:rPr>
                <w:lang w:eastAsia="ja-JP"/>
              </w:rPr>
            </w:pPr>
            <w:r w:rsidRPr="00E036CB">
              <w:rPr>
                <w:rFonts w:hint="eastAsia"/>
                <w:lang w:eastAsia="ja-JP"/>
              </w:rPr>
              <w:t>-</w:t>
            </w:r>
            <w:r w:rsidRPr="00E036CB">
              <w:rPr>
                <w:rFonts w:hint="eastAsia"/>
                <w:lang w:eastAsia="ja-JP"/>
              </w:rPr>
              <w:tab/>
            </w:r>
            <w:r>
              <w:rPr>
                <w:lang w:eastAsia="ja-JP"/>
              </w:rPr>
              <w:t>…</w:t>
            </w:r>
          </w:p>
          <w:p w14:paraId="257E6276" w14:textId="77777777" w:rsidR="004A53B5" w:rsidRDefault="004A53B5" w:rsidP="00A962F4">
            <w:pPr>
              <w:pStyle w:val="B2"/>
              <w:rPr>
                <w:lang w:val="en-US" w:eastAsia="ja-JP"/>
              </w:rPr>
            </w:pPr>
            <w:r w:rsidRPr="00BF712B">
              <w:rPr>
                <w:rFonts w:hint="eastAsia"/>
                <w:lang w:eastAsia="ja-JP"/>
              </w:rPr>
              <w:t>-</w:t>
            </w:r>
            <w:r w:rsidRPr="00BF712B">
              <w:rPr>
                <w:rFonts w:hint="eastAsia"/>
                <w:lang w:eastAsia="ja-JP"/>
              </w:rPr>
              <w:tab/>
            </w:r>
            <w:r w:rsidRPr="00BF712B">
              <w:rPr>
                <w:lang w:eastAsia="ja-JP"/>
              </w:rPr>
              <w:t>Downlink and uplink functionality related to multi-antenna transmission/reception enabling closed loop and open/semi-open loop transmissions</w:t>
            </w:r>
            <w:r w:rsidRPr="00493CB5">
              <w:rPr>
                <w:lang w:eastAsia="ja-JP"/>
              </w:rPr>
              <w:t>, beam management</w:t>
            </w:r>
            <w:r w:rsidRPr="00746FB5">
              <w:rPr>
                <w:lang w:eastAsia="ja-JP"/>
              </w:rPr>
              <w:t>,</w:t>
            </w:r>
            <w:r w:rsidRPr="00746FB5">
              <w:rPr>
                <w:rFonts w:hint="eastAsia"/>
                <w:lang w:eastAsia="ja-JP"/>
              </w:rPr>
              <w:t xml:space="preserve"> interference measurement</w:t>
            </w:r>
            <w:r w:rsidRPr="00BF712B">
              <w:rPr>
                <w:rFonts w:hint="eastAsia"/>
                <w:lang w:eastAsia="ja-JP"/>
              </w:rPr>
              <w:t>,</w:t>
            </w:r>
            <w:r w:rsidRPr="00BF712B">
              <w:rPr>
                <w:lang w:eastAsia="ja-JP"/>
              </w:rPr>
              <w:t xml:space="preserve"> </w:t>
            </w:r>
            <w:r w:rsidRPr="004A53B5">
              <w:rPr>
                <w:lang w:eastAsia="ja-JP"/>
              </w:rPr>
              <w:t xml:space="preserve">Type </w:t>
            </w:r>
            <w:r w:rsidRPr="004A53B5">
              <w:rPr>
                <w:rFonts w:hint="eastAsia"/>
                <w:lang w:eastAsia="ja-JP"/>
              </w:rPr>
              <w:t>I</w:t>
            </w:r>
            <w:r w:rsidRPr="004A53B5">
              <w:rPr>
                <w:lang w:eastAsia="ja-JP"/>
              </w:rPr>
              <w:t xml:space="preserve"> codebook-based CSI acquisition</w:t>
            </w:r>
            <w:r w:rsidRPr="00746FB5">
              <w:rPr>
                <w:rFonts w:hint="eastAsia"/>
                <w:lang w:eastAsia="ja-JP"/>
              </w:rPr>
              <w:t xml:space="preserve"> and</w:t>
            </w:r>
            <w:r w:rsidRPr="00746FB5">
              <w:rPr>
                <w:lang w:eastAsia="ja-JP"/>
              </w:rPr>
              <w:t xml:space="preserve"> </w:t>
            </w:r>
            <w:r w:rsidRPr="004A53B5">
              <w:rPr>
                <w:highlight w:val="yellow"/>
                <w:lang w:eastAsia="ja-JP"/>
              </w:rPr>
              <w:t>Type II CSI acquisition</w:t>
            </w:r>
            <w:r w:rsidRPr="00746FB5">
              <w:rPr>
                <w:lang w:eastAsia="ja-JP"/>
              </w:rPr>
              <w:t xml:space="preserve"> as well as CSI acquisition for reciprocity-based operation, </w:t>
            </w:r>
            <w:r w:rsidRPr="00746FB5">
              <w:rPr>
                <w:rFonts w:hint="eastAsia"/>
                <w:lang w:eastAsia="ja-JP"/>
              </w:rPr>
              <w:t xml:space="preserve">the </w:t>
            </w:r>
            <w:r w:rsidRPr="00746FB5">
              <w:rPr>
                <w:lang w:eastAsia="ja-JP"/>
              </w:rPr>
              <w:t xml:space="preserve">associated reference signal designs, and </w:t>
            </w:r>
            <w:r w:rsidRPr="00746FB5">
              <w:rPr>
                <w:rFonts w:hint="eastAsia"/>
                <w:lang w:eastAsia="ja-JP"/>
              </w:rPr>
              <w:t xml:space="preserve">related </w:t>
            </w:r>
            <w:r w:rsidRPr="00746FB5">
              <w:rPr>
                <w:lang w:eastAsia="ja-JP"/>
              </w:rPr>
              <w:t>quasi-colocation</w:t>
            </w:r>
            <w:r w:rsidRPr="00746FB5">
              <w:rPr>
                <w:rFonts w:hint="eastAsia"/>
                <w:lang w:eastAsia="ja-JP"/>
              </w:rPr>
              <w:t xml:space="preserve"> assumptions.</w:t>
            </w:r>
          </w:p>
        </w:tc>
      </w:tr>
    </w:tbl>
    <w:p w14:paraId="04274268" w14:textId="3571A42C" w:rsidR="00E1556C" w:rsidRDefault="006512E0" w:rsidP="00E1556C">
      <w:pPr>
        <w:spacing w:after="60"/>
        <w:rPr>
          <w:lang w:val="en-US"/>
        </w:rPr>
      </w:pPr>
      <w:r>
        <w:rPr>
          <w:lang w:val="en-US"/>
        </w:rPr>
        <w:t>I</w:t>
      </w:r>
      <w:r w:rsidRPr="008E3105">
        <w:rPr>
          <w:lang w:val="en-US"/>
        </w:rPr>
        <w:t>n RAN1</w:t>
      </w:r>
      <w:r>
        <w:rPr>
          <w:lang w:val="en-US"/>
        </w:rPr>
        <w:t>-</w:t>
      </w:r>
      <w:r w:rsidRPr="008E3105">
        <w:rPr>
          <w:lang w:val="en-US"/>
        </w:rPr>
        <w:t>NR</w:t>
      </w:r>
      <w:r>
        <w:rPr>
          <w:lang w:val="en-US"/>
        </w:rPr>
        <w:t>#1 [2] and RAN1#88 [3]</w:t>
      </w:r>
      <w:r w:rsidRPr="008E3105">
        <w:rPr>
          <w:lang w:val="en-US"/>
        </w:rPr>
        <w:t>, the following agreement</w:t>
      </w:r>
      <w:r>
        <w:rPr>
          <w:lang w:val="en-US"/>
        </w:rPr>
        <w:t>s</w:t>
      </w:r>
      <w:r w:rsidRPr="008E3105">
        <w:rPr>
          <w:lang w:val="en-US"/>
        </w:rPr>
        <w:t xml:space="preserve"> </w:t>
      </w:r>
      <w:r>
        <w:rPr>
          <w:lang w:val="en-US"/>
        </w:rPr>
        <w:t>about</w:t>
      </w:r>
      <w:r w:rsidRPr="008E3105">
        <w:rPr>
          <w:lang w:val="en-US"/>
        </w:rPr>
        <w:t xml:space="preserve"> </w:t>
      </w:r>
      <w:r>
        <w:rPr>
          <w:lang w:val="en-US"/>
        </w:rPr>
        <w:t>Type II CSI</w:t>
      </w:r>
      <w:r w:rsidRPr="008E3105">
        <w:rPr>
          <w:lang w:val="en-US"/>
        </w:rPr>
        <w:t xml:space="preserve"> </w:t>
      </w:r>
      <w:r>
        <w:rPr>
          <w:lang w:val="en-US"/>
        </w:rPr>
        <w:t>acquisition (highlighted text above) were</w:t>
      </w:r>
      <w:r w:rsidRPr="008E3105">
        <w:rPr>
          <w:lang w:val="en-US"/>
        </w:rPr>
        <w:t xml:space="preserve"> made</w:t>
      </w:r>
      <w:r w:rsidR="00E1556C">
        <w:rPr>
          <w:lang w:val="en-US"/>
        </w:rPr>
        <w:t>.</w:t>
      </w:r>
      <w:r w:rsidR="00E1556C" w:rsidRPr="008E3105">
        <w:rPr>
          <w:lang w:val="en-US"/>
        </w:rPr>
        <w:t xml:space="preserve"> </w:t>
      </w:r>
    </w:p>
    <w:p w14:paraId="300560E2" w14:textId="77777777" w:rsidR="00E1556C" w:rsidRPr="0055340D" w:rsidRDefault="00E1556C" w:rsidP="00E1556C">
      <w:pPr>
        <w:snapToGrid w:val="0"/>
        <w:rPr>
          <w:rFonts w:eastAsia="MS Mincho"/>
          <w:b/>
          <w:u w:val="single"/>
          <w:lang w:eastAsia="ja-JP"/>
        </w:rPr>
      </w:pPr>
      <w:r w:rsidRPr="0055340D">
        <w:rPr>
          <w:rFonts w:eastAsia="MS Mincho" w:hint="eastAsia"/>
          <w:b/>
          <w:highlight w:val="green"/>
          <w:u w:val="single"/>
          <w:lang w:eastAsia="ja-JP"/>
        </w:rPr>
        <w:t>Agreements:</w:t>
      </w:r>
    </w:p>
    <w:p w14:paraId="59627AF1" w14:textId="77777777" w:rsidR="00E1556C" w:rsidRPr="00322197" w:rsidRDefault="00E1556C" w:rsidP="00E1556C">
      <w:pPr>
        <w:numPr>
          <w:ilvl w:val="0"/>
          <w:numId w:val="12"/>
        </w:numPr>
        <w:snapToGrid w:val="0"/>
        <w:spacing w:before="0" w:after="0" w:line="240" w:lineRule="auto"/>
        <w:jc w:val="left"/>
        <w:rPr>
          <w:lang w:val="en-US"/>
        </w:rPr>
      </w:pPr>
      <w:r w:rsidRPr="00322197">
        <w:rPr>
          <w:lang w:val="en-US"/>
        </w:rPr>
        <w:t>Support at least one scheme taken from Category 1, 2, and/or 3 for Type II CSI</w:t>
      </w:r>
    </w:p>
    <w:p w14:paraId="32135C46" w14:textId="77777777" w:rsidR="00E1556C" w:rsidRDefault="00E1556C" w:rsidP="00E1556C">
      <w:pPr>
        <w:numPr>
          <w:ilvl w:val="1"/>
          <w:numId w:val="12"/>
        </w:numPr>
        <w:snapToGrid w:val="0"/>
        <w:spacing w:before="0" w:after="0" w:line="240" w:lineRule="auto"/>
        <w:jc w:val="left"/>
        <w:rPr>
          <w:lang w:val="en-US"/>
        </w:rPr>
      </w:pPr>
      <w:r w:rsidRPr="00322197">
        <w:rPr>
          <w:lang w:val="en-US"/>
        </w:rPr>
        <w:t>Possible down selection can be performed throughout Phase I WI</w:t>
      </w:r>
    </w:p>
    <w:p w14:paraId="2BC7B269" w14:textId="77777777" w:rsidR="00E1556C" w:rsidRDefault="00E1556C" w:rsidP="00E1556C">
      <w:pPr>
        <w:numPr>
          <w:ilvl w:val="2"/>
          <w:numId w:val="12"/>
        </w:numPr>
        <w:snapToGrid w:val="0"/>
        <w:spacing w:before="0" w:after="0" w:line="240" w:lineRule="auto"/>
        <w:jc w:val="left"/>
        <w:rPr>
          <w:lang w:val="en-US"/>
        </w:rPr>
      </w:pPr>
      <w:r>
        <w:rPr>
          <w:lang w:val="en-US"/>
        </w:rPr>
        <w:t>If more than one schemes is supported, these schemes should be complementary</w:t>
      </w:r>
    </w:p>
    <w:p w14:paraId="27143CD7" w14:textId="77777777" w:rsidR="00E1556C" w:rsidRDefault="00E1556C" w:rsidP="00E1556C">
      <w:pPr>
        <w:numPr>
          <w:ilvl w:val="2"/>
          <w:numId w:val="12"/>
        </w:numPr>
        <w:snapToGrid w:val="0"/>
        <w:spacing w:before="0" w:after="0" w:line="240" w:lineRule="auto"/>
        <w:jc w:val="left"/>
        <w:rPr>
          <w:lang w:val="en-US"/>
        </w:rPr>
      </w:pPr>
      <w:r>
        <w:rPr>
          <w:lang w:val="en-US"/>
        </w:rPr>
        <w:t>This includes further refinement within each category</w:t>
      </w:r>
    </w:p>
    <w:p w14:paraId="4E6EBDA6" w14:textId="77777777" w:rsidR="00E1556C" w:rsidRPr="00322197" w:rsidRDefault="00E1556C" w:rsidP="00E1556C">
      <w:pPr>
        <w:numPr>
          <w:ilvl w:val="2"/>
          <w:numId w:val="12"/>
        </w:numPr>
        <w:snapToGrid w:val="0"/>
        <w:spacing w:before="0" w:after="0" w:line="240" w:lineRule="auto"/>
        <w:jc w:val="left"/>
        <w:rPr>
          <w:lang w:val="en-US"/>
        </w:rPr>
      </w:pPr>
      <w:r>
        <w:rPr>
          <w:lang w:val="en-US"/>
        </w:rPr>
        <w:t>Note: other schemes within each category are not precluded</w:t>
      </w:r>
    </w:p>
    <w:p w14:paraId="096E7654" w14:textId="77777777" w:rsidR="00E1556C" w:rsidRPr="00322197" w:rsidRDefault="00E1556C" w:rsidP="00E1556C">
      <w:pPr>
        <w:numPr>
          <w:ilvl w:val="1"/>
          <w:numId w:val="12"/>
        </w:numPr>
        <w:snapToGrid w:val="0"/>
        <w:spacing w:before="0" w:after="0" w:line="240" w:lineRule="auto"/>
        <w:jc w:val="left"/>
        <w:rPr>
          <w:lang w:val="en-US"/>
        </w:rPr>
      </w:pPr>
      <w:r w:rsidRPr="00322197">
        <w:rPr>
          <w:lang w:val="en-US"/>
        </w:rPr>
        <w:t>Descriptions for Category 1 and 2 are given in the following slides</w:t>
      </w:r>
    </w:p>
    <w:p w14:paraId="6DBE3301" w14:textId="77777777" w:rsidR="00E1556C" w:rsidRDefault="00E1556C" w:rsidP="00E1556C">
      <w:pPr>
        <w:numPr>
          <w:ilvl w:val="2"/>
          <w:numId w:val="12"/>
        </w:numPr>
        <w:snapToGrid w:val="0"/>
        <w:spacing w:before="0" w:after="0" w:line="240" w:lineRule="auto"/>
        <w:jc w:val="left"/>
        <w:rPr>
          <w:lang w:val="en-US"/>
        </w:rPr>
      </w:pPr>
      <w:r w:rsidRPr="00322197">
        <w:rPr>
          <w:lang w:val="en-US"/>
        </w:rPr>
        <w:t>For the purpose of summary in TR38.802</w:t>
      </w:r>
    </w:p>
    <w:p w14:paraId="34B799EF" w14:textId="77777777" w:rsidR="00E1556C" w:rsidRPr="00373F55" w:rsidRDefault="00E1556C" w:rsidP="00E1556C">
      <w:pPr>
        <w:pStyle w:val="ListParagraph"/>
        <w:numPr>
          <w:ilvl w:val="0"/>
          <w:numId w:val="12"/>
        </w:numPr>
        <w:snapToGrid w:val="0"/>
        <w:spacing w:before="0" w:after="0" w:line="240" w:lineRule="auto"/>
        <w:ind w:leftChars="0"/>
        <w:jc w:val="left"/>
        <w:rPr>
          <w:highlight w:val="yellow"/>
        </w:rPr>
      </w:pPr>
      <w:r w:rsidRPr="00373F55">
        <w:rPr>
          <w:highlight w:val="yellow"/>
        </w:rPr>
        <w:t xml:space="preserve">Category 1: </w:t>
      </w:r>
      <w:proofErr w:type="spellStart"/>
      <w:r w:rsidRPr="00373F55">
        <w:rPr>
          <w:highlight w:val="yellow"/>
        </w:rPr>
        <w:t>precoder</w:t>
      </w:r>
      <w:proofErr w:type="spellEnd"/>
      <w:r w:rsidRPr="00373F55">
        <w:rPr>
          <w:highlight w:val="yellow"/>
        </w:rPr>
        <w:t xml:space="preserve"> feedback based on linear combination codebook</w:t>
      </w:r>
    </w:p>
    <w:p w14:paraId="0299474F" w14:textId="77777777" w:rsidR="00E1556C" w:rsidRPr="00322197" w:rsidRDefault="00E1556C" w:rsidP="00E1556C">
      <w:pPr>
        <w:numPr>
          <w:ilvl w:val="0"/>
          <w:numId w:val="13"/>
        </w:numPr>
        <w:tabs>
          <w:tab w:val="num" w:pos="720"/>
        </w:tabs>
        <w:snapToGrid w:val="0"/>
        <w:spacing w:before="0" w:after="0" w:line="240" w:lineRule="auto"/>
        <w:jc w:val="left"/>
        <w:rPr>
          <w:lang w:val="en-US"/>
        </w:rPr>
      </w:pPr>
      <w:r w:rsidRPr="00322197">
        <w:rPr>
          <w:lang w:val="en-US"/>
        </w:rPr>
        <w:t xml:space="preserve">Dual-stage W = W1W2 codebook </w:t>
      </w:r>
    </w:p>
    <w:p w14:paraId="4D51613D" w14:textId="77777777" w:rsidR="00E1556C" w:rsidRPr="00322197" w:rsidRDefault="00E1556C" w:rsidP="00E1556C">
      <w:pPr>
        <w:numPr>
          <w:ilvl w:val="1"/>
          <w:numId w:val="13"/>
        </w:numPr>
        <w:snapToGrid w:val="0"/>
        <w:spacing w:before="0" w:after="0" w:line="240" w:lineRule="auto"/>
        <w:jc w:val="left"/>
        <w:rPr>
          <w:lang w:val="en-US"/>
        </w:rPr>
      </w:pPr>
      <w:r w:rsidRPr="00322197">
        <w:rPr>
          <w:lang w:val="en-US"/>
        </w:rPr>
        <w:t xml:space="preserve">W1 consists of a set of </w:t>
      </w:r>
      <w:r w:rsidRPr="00322197">
        <w:rPr>
          <w:i/>
          <w:iCs/>
          <w:lang w:val="en-US"/>
        </w:rPr>
        <w:t>L</w:t>
      </w:r>
      <w:r w:rsidRPr="00322197">
        <w:rPr>
          <w:lang w:val="en-US"/>
        </w:rPr>
        <w:t xml:space="preserve"> orthogonal beams, e.g. 2D DFT beams</w:t>
      </w:r>
    </w:p>
    <w:p w14:paraId="460C3C33" w14:textId="77777777" w:rsidR="00E1556C" w:rsidRPr="00322197" w:rsidRDefault="00E1556C" w:rsidP="00E1556C">
      <w:pPr>
        <w:numPr>
          <w:ilvl w:val="2"/>
          <w:numId w:val="13"/>
        </w:numPr>
        <w:snapToGrid w:val="0"/>
        <w:spacing w:before="0" w:after="0" w:line="240" w:lineRule="auto"/>
        <w:jc w:val="left"/>
        <w:rPr>
          <w:lang w:val="en-US"/>
        </w:rPr>
      </w:pPr>
      <w:r w:rsidRPr="00322197">
        <w:rPr>
          <w:lang w:val="en-US"/>
        </w:rPr>
        <w:t xml:space="preserve">The set of </w:t>
      </w:r>
      <w:r w:rsidRPr="00322197">
        <w:rPr>
          <w:i/>
          <w:iCs/>
          <w:lang w:val="en-US"/>
        </w:rPr>
        <w:t>L</w:t>
      </w:r>
      <w:r w:rsidRPr="00322197">
        <w:rPr>
          <w:lang w:val="en-US"/>
        </w:rPr>
        <w:t xml:space="preserve"> beams is selected out of a basis, e.g. oversampled 2D DFT beams</w:t>
      </w:r>
    </w:p>
    <w:p w14:paraId="5E6E559B" w14:textId="77777777" w:rsidR="00E1556C" w:rsidRPr="00322197" w:rsidRDefault="00E1556C" w:rsidP="00E1556C">
      <w:pPr>
        <w:numPr>
          <w:ilvl w:val="2"/>
          <w:numId w:val="13"/>
        </w:numPr>
        <w:snapToGrid w:val="0"/>
        <w:spacing w:before="0" w:after="0" w:line="240" w:lineRule="auto"/>
        <w:jc w:val="left"/>
        <w:rPr>
          <w:lang w:val="en-US"/>
        </w:rPr>
      </w:pPr>
      <w:r w:rsidRPr="00322197">
        <w:rPr>
          <w:lang w:val="en-US"/>
        </w:rPr>
        <w:t>Beam selection is wideband</w:t>
      </w:r>
    </w:p>
    <w:p w14:paraId="49D6F66C" w14:textId="77777777" w:rsidR="00E1556C" w:rsidRPr="00322197" w:rsidRDefault="00E1556C" w:rsidP="00E1556C">
      <w:pPr>
        <w:numPr>
          <w:ilvl w:val="1"/>
          <w:numId w:val="13"/>
        </w:numPr>
        <w:snapToGrid w:val="0"/>
        <w:spacing w:before="0" w:after="0" w:line="240" w:lineRule="auto"/>
        <w:jc w:val="left"/>
        <w:rPr>
          <w:lang w:val="en-US"/>
        </w:rPr>
      </w:pPr>
      <w:r w:rsidRPr="00322197">
        <w:rPr>
          <w:lang w:val="en-US"/>
        </w:rPr>
        <w:t xml:space="preserve">W2: </w:t>
      </w:r>
      <w:r w:rsidRPr="00322197">
        <w:rPr>
          <w:i/>
          <w:iCs/>
          <w:lang w:val="en-US"/>
        </w:rPr>
        <w:t>L</w:t>
      </w:r>
      <w:r w:rsidRPr="00322197">
        <w:rPr>
          <w:lang w:val="en-US"/>
        </w:rPr>
        <w:t xml:space="preserve"> beams are combined in W2 with common W1</w:t>
      </w:r>
    </w:p>
    <w:p w14:paraId="56B86247" w14:textId="77777777" w:rsidR="00E1556C" w:rsidRPr="00322197" w:rsidRDefault="00E1556C" w:rsidP="00E1556C">
      <w:pPr>
        <w:numPr>
          <w:ilvl w:val="2"/>
          <w:numId w:val="13"/>
        </w:numPr>
        <w:snapToGrid w:val="0"/>
        <w:spacing w:before="0" w:after="0" w:line="240" w:lineRule="auto"/>
        <w:jc w:val="left"/>
        <w:rPr>
          <w:lang w:val="en-US"/>
        </w:rPr>
      </w:pPr>
      <w:proofErr w:type="spellStart"/>
      <w:r w:rsidRPr="00322197">
        <w:rPr>
          <w:lang w:val="en-US"/>
        </w:rPr>
        <w:t>Subband</w:t>
      </w:r>
      <w:proofErr w:type="spellEnd"/>
      <w:r w:rsidRPr="00322197">
        <w:rPr>
          <w:lang w:val="en-US"/>
        </w:rPr>
        <w:t xml:space="preserve"> reporting of phase quantization of beam combining coefficients</w:t>
      </w:r>
    </w:p>
    <w:p w14:paraId="7A9F1DD9" w14:textId="77777777" w:rsidR="00E1556C" w:rsidRPr="00AE7689" w:rsidRDefault="00E1556C" w:rsidP="00E1556C">
      <w:pPr>
        <w:numPr>
          <w:ilvl w:val="1"/>
          <w:numId w:val="13"/>
        </w:numPr>
        <w:snapToGrid w:val="0"/>
        <w:spacing w:before="0" w:after="0" w:line="240" w:lineRule="auto"/>
        <w:jc w:val="left"/>
        <w:rPr>
          <w:lang w:val="en-US"/>
        </w:rPr>
      </w:pPr>
      <w:r w:rsidRPr="00322197">
        <w:rPr>
          <w:lang w:val="en-US"/>
        </w:rPr>
        <w:t xml:space="preserve">Beam amplitude scaling quantization can be </w:t>
      </w:r>
      <w:r>
        <w:rPr>
          <w:lang w:val="en-US"/>
        </w:rPr>
        <w:t xml:space="preserve">configured for </w:t>
      </w:r>
      <w:r w:rsidRPr="00322197">
        <w:rPr>
          <w:lang w:val="en-US"/>
        </w:rPr>
        <w:t xml:space="preserve">wideband or </w:t>
      </w:r>
      <w:proofErr w:type="spellStart"/>
      <w:r w:rsidRPr="00322197">
        <w:rPr>
          <w:lang w:val="en-US"/>
        </w:rPr>
        <w:t>subband</w:t>
      </w:r>
      <w:proofErr w:type="spellEnd"/>
      <w:r w:rsidRPr="00322197">
        <w:rPr>
          <w:lang w:val="en-US"/>
        </w:rPr>
        <w:t xml:space="preserve"> reporting</w:t>
      </w:r>
    </w:p>
    <w:p w14:paraId="454908CA" w14:textId="77777777" w:rsidR="00E1556C" w:rsidRPr="00142F0C" w:rsidRDefault="00E1556C" w:rsidP="00E1556C">
      <w:pPr>
        <w:numPr>
          <w:ilvl w:val="2"/>
          <w:numId w:val="14"/>
        </w:numPr>
        <w:snapToGrid w:val="0"/>
        <w:spacing w:before="0" w:after="0" w:line="240" w:lineRule="auto"/>
        <w:jc w:val="left"/>
        <w:rPr>
          <w:lang w:val="en-US"/>
        </w:rPr>
      </w:pPr>
      <w:r>
        <w:t>…</w:t>
      </w:r>
    </w:p>
    <w:p w14:paraId="64F32C56" w14:textId="77777777" w:rsidR="00F557F5" w:rsidRPr="000D77B5" w:rsidRDefault="00F557F5" w:rsidP="00F557F5">
      <w:pPr>
        <w:rPr>
          <w:rFonts w:eastAsia="MS Mincho"/>
          <w:lang w:eastAsia="ja-JP"/>
        </w:rPr>
      </w:pPr>
      <w:r w:rsidRPr="000D77B5">
        <w:rPr>
          <w:rFonts w:eastAsia="MS Mincho"/>
          <w:highlight w:val="green"/>
          <w:lang w:eastAsia="ja-JP"/>
        </w:rPr>
        <w:t>Agreements</w:t>
      </w:r>
      <w:r w:rsidRPr="000D77B5">
        <w:rPr>
          <w:rFonts w:eastAsia="MS Mincho"/>
          <w:b/>
          <w:lang w:eastAsia="ja-JP"/>
        </w:rPr>
        <w:t>:</w:t>
      </w:r>
    </w:p>
    <w:p w14:paraId="5FF8C179" w14:textId="77777777" w:rsidR="00F557F5" w:rsidRPr="000D77B5" w:rsidRDefault="00F557F5" w:rsidP="00F557F5">
      <w:pPr>
        <w:numPr>
          <w:ilvl w:val="0"/>
          <w:numId w:val="20"/>
        </w:numPr>
        <w:spacing w:before="0" w:after="0" w:line="240" w:lineRule="auto"/>
        <w:jc w:val="left"/>
        <w:rPr>
          <w:rFonts w:eastAsia="MS Mincho"/>
          <w:lang w:val="en-US" w:eastAsia="ja-JP"/>
        </w:rPr>
      </w:pPr>
      <w:r w:rsidRPr="000D77B5">
        <w:rPr>
          <w:rFonts w:eastAsia="MS Mincho"/>
          <w:iCs/>
          <w:lang w:val="en-US" w:eastAsia="ja-JP"/>
        </w:rPr>
        <w:t>Refine the description in 38.802 for Type II CSI Category I as follows</w:t>
      </w:r>
    </w:p>
    <w:p w14:paraId="65231DD0" w14:textId="77777777" w:rsidR="00F557F5" w:rsidRPr="000D77B5" w:rsidRDefault="00F557F5" w:rsidP="00F557F5">
      <w:pPr>
        <w:numPr>
          <w:ilvl w:val="1"/>
          <w:numId w:val="20"/>
        </w:numPr>
        <w:spacing w:before="0" w:after="0" w:line="240" w:lineRule="auto"/>
        <w:jc w:val="left"/>
        <w:rPr>
          <w:rFonts w:eastAsia="MS Mincho"/>
          <w:lang w:val="en-US" w:eastAsia="ja-JP"/>
        </w:rPr>
      </w:pPr>
      <w:r w:rsidRPr="000D77B5">
        <w:rPr>
          <w:rFonts w:eastAsia="MS Mincho"/>
          <w:lang w:val="en-US" w:eastAsia="ja-JP"/>
        </w:rPr>
        <w:t xml:space="preserve">Dual-stage W = W1W2 codebook </w:t>
      </w:r>
    </w:p>
    <w:p w14:paraId="0F3BB31F" w14:textId="77777777" w:rsidR="00F557F5" w:rsidRPr="000D77B5" w:rsidRDefault="00F557F5" w:rsidP="00F557F5">
      <w:pPr>
        <w:numPr>
          <w:ilvl w:val="2"/>
          <w:numId w:val="20"/>
        </w:numPr>
        <w:spacing w:before="0" w:after="0" w:line="240" w:lineRule="auto"/>
        <w:jc w:val="left"/>
        <w:rPr>
          <w:rFonts w:eastAsia="MS Mincho"/>
          <w:lang w:val="en-US" w:eastAsia="ja-JP"/>
        </w:rPr>
      </w:pPr>
      <w:r w:rsidRPr="000D77B5">
        <w:rPr>
          <w:rFonts w:eastAsia="MS Mincho"/>
          <w:lang w:val="en-US" w:eastAsia="ja-JP"/>
        </w:rPr>
        <w:t xml:space="preserve">W1 consists of a set of </w:t>
      </w:r>
      <w:r w:rsidRPr="000D77B5">
        <w:rPr>
          <w:rFonts w:eastAsia="MS Mincho"/>
          <w:iCs/>
          <w:lang w:val="en-US" w:eastAsia="ja-JP"/>
        </w:rPr>
        <w:t>L</w:t>
      </w:r>
      <w:r w:rsidRPr="000D77B5">
        <w:rPr>
          <w:rFonts w:eastAsia="MS Mincho"/>
          <w:lang w:val="en-US" w:eastAsia="ja-JP"/>
        </w:rPr>
        <w:t xml:space="preserve"> orthogonal beams </w:t>
      </w:r>
      <w:r w:rsidRPr="00F557F5">
        <w:rPr>
          <w:rFonts w:eastAsia="MS Mincho"/>
          <w:lang w:val="en-US" w:eastAsia="ja-JP"/>
        </w:rPr>
        <w:t>taken from</w:t>
      </w:r>
      <w:r w:rsidRPr="000D77B5">
        <w:rPr>
          <w:rFonts w:eastAsia="MS Mincho"/>
          <w:lang w:val="en-US" w:eastAsia="ja-JP"/>
        </w:rPr>
        <w:t xml:space="preserve"> 2D DFT beams</w:t>
      </w:r>
    </w:p>
    <w:p w14:paraId="005357B9" w14:textId="77777777" w:rsidR="00F557F5" w:rsidRPr="000D77B5" w:rsidRDefault="00F557F5" w:rsidP="00F557F5">
      <w:pPr>
        <w:numPr>
          <w:ilvl w:val="3"/>
          <w:numId w:val="20"/>
        </w:numPr>
        <w:spacing w:before="0" w:after="0" w:line="240" w:lineRule="auto"/>
        <w:jc w:val="left"/>
        <w:rPr>
          <w:rFonts w:eastAsia="MS Mincho"/>
          <w:lang w:val="en-US" w:eastAsia="ja-JP"/>
        </w:rPr>
      </w:pPr>
      <w:r w:rsidRPr="000D77B5">
        <w:rPr>
          <w:rFonts w:eastAsia="MS Mincho"/>
          <w:lang w:val="en-US" w:eastAsia="ja-JP"/>
        </w:rPr>
        <w:t xml:space="preserve">The set of </w:t>
      </w:r>
      <w:r w:rsidRPr="00F557F5">
        <w:rPr>
          <w:rFonts w:eastAsia="MS Mincho"/>
          <w:lang w:val="en-US" w:eastAsia="ja-JP"/>
        </w:rPr>
        <w:t>L</w:t>
      </w:r>
      <w:r w:rsidRPr="000D77B5">
        <w:rPr>
          <w:rFonts w:eastAsia="MS Mincho"/>
          <w:lang w:val="en-US" w:eastAsia="ja-JP"/>
        </w:rPr>
        <w:t xml:space="preserve"> beams is selected out of a basis </w:t>
      </w:r>
      <w:r w:rsidRPr="00F557F5">
        <w:rPr>
          <w:rFonts w:eastAsia="MS Mincho"/>
          <w:lang w:val="en-US" w:eastAsia="ja-JP"/>
        </w:rPr>
        <w:t>composed of</w:t>
      </w:r>
      <w:r w:rsidRPr="000D77B5">
        <w:rPr>
          <w:rFonts w:eastAsia="MS Mincho"/>
          <w:lang w:val="en-US" w:eastAsia="ja-JP"/>
        </w:rPr>
        <w:t xml:space="preserve"> oversampled 2D DFT beams</w:t>
      </w:r>
    </w:p>
    <w:p w14:paraId="1859152C" w14:textId="77777777" w:rsidR="00F557F5" w:rsidRPr="00F557F5" w:rsidRDefault="00F557F5" w:rsidP="00F557F5">
      <w:pPr>
        <w:numPr>
          <w:ilvl w:val="4"/>
          <w:numId w:val="20"/>
        </w:numPr>
        <w:spacing w:before="0" w:after="0" w:line="240" w:lineRule="auto"/>
        <w:jc w:val="left"/>
        <w:rPr>
          <w:rFonts w:eastAsia="MS Mincho"/>
          <w:lang w:val="en-US" w:eastAsia="ja-JP"/>
        </w:rPr>
      </w:pPr>
      <w:r w:rsidRPr="00F557F5">
        <w:rPr>
          <w:rFonts w:eastAsia="MS Mincho"/>
          <w:lang w:val="en-US" w:eastAsia="ja-JP"/>
        </w:rPr>
        <w:t xml:space="preserve">L </w:t>
      </w:r>
      <w:r w:rsidRPr="00F557F5">
        <w:rPr>
          <w:rFonts w:eastAsia="MS Mincho"/>
          <w:lang w:val="en-US" w:eastAsia="ja-JP"/>
        </w:rPr>
        <w:sym w:font="Symbol" w:char="F0CE"/>
      </w:r>
      <w:r w:rsidRPr="00F557F5">
        <w:rPr>
          <w:rFonts w:eastAsia="MS Mincho"/>
          <w:lang w:val="en-US" w:eastAsia="ja-JP"/>
        </w:rPr>
        <w:t>{2, 3, 4, FFS 6} (L is configurable)</w:t>
      </w:r>
    </w:p>
    <w:p w14:paraId="2C8DFEF8" w14:textId="77777777" w:rsidR="00F557F5" w:rsidRPr="000D77B5" w:rsidRDefault="00F557F5" w:rsidP="00F557F5">
      <w:pPr>
        <w:numPr>
          <w:ilvl w:val="3"/>
          <w:numId w:val="20"/>
        </w:numPr>
        <w:spacing w:before="0" w:after="0" w:line="240" w:lineRule="auto"/>
        <w:jc w:val="left"/>
        <w:rPr>
          <w:rFonts w:eastAsia="MS Mincho"/>
          <w:lang w:val="en-US" w:eastAsia="ja-JP"/>
        </w:rPr>
      </w:pPr>
      <w:r w:rsidRPr="000D77B5">
        <w:rPr>
          <w:rFonts w:eastAsia="MS Mincho"/>
          <w:lang w:val="en-US" w:eastAsia="ja-JP"/>
        </w:rPr>
        <w:t>Beam selection is wideband</w:t>
      </w:r>
    </w:p>
    <w:p w14:paraId="5E7B4AF6" w14:textId="77777777" w:rsidR="00F557F5" w:rsidRPr="000D77B5" w:rsidRDefault="00F557F5" w:rsidP="00F557F5">
      <w:pPr>
        <w:numPr>
          <w:ilvl w:val="2"/>
          <w:numId w:val="20"/>
        </w:numPr>
        <w:spacing w:before="0" w:after="0" w:line="240" w:lineRule="auto"/>
        <w:jc w:val="left"/>
        <w:rPr>
          <w:rFonts w:eastAsia="MS Mincho"/>
          <w:lang w:val="en-US" w:eastAsia="ja-JP"/>
        </w:rPr>
      </w:pPr>
      <w:r w:rsidRPr="000D77B5">
        <w:rPr>
          <w:rFonts w:eastAsia="MS Mincho"/>
          <w:lang w:val="en-US" w:eastAsia="ja-JP"/>
        </w:rPr>
        <w:t xml:space="preserve">W2: </w:t>
      </w:r>
      <w:r w:rsidRPr="00F557F5">
        <w:rPr>
          <w:rFonts w:eastAsia="MS Mincho"/>
          <w:lang w:val="en-US" w:eastAsia="ja-JP"/>
        </w:rPr>
        <w:t>L</w:t>
      </w:r>
      <w:r w:rsidRPr="000D77B5">
        <w:rPr>
          <w:rFonts w:eastAsia="MS Mincho"/>
          <w:lang w:val="en-US" w:eastAsia="ja-JP"/>
        </w:rPr>
        <w:t xml:space="preserve"> beams are combined in W2 with common W1, </w:t>
      </w:r>
    </w:p>
    <w:p w14:paraId="3AF7ADBD" w14:textId="77777777" w:rsidR="00F557F5" w:rsidRPr="000D77B5" w:rsidRDefault="00F557F5" w:rsidP="00F557F5">
      <w:pPr>
        <w:numPr>
          <w:ilvl w:val="3"/>
          <w:numId w:val="20"/>
        </w:numPr>
        <w:spacing w:before="0" w:after="0" w:line="240" w:lineRule="auto"/>
        <w:jc w:val="left"/>
        <w:rPr>
          <w:rFonts w:eastAsia="MS Mincho"/>
          <w:lang w:val="en-US" w:eastAsia="ja-JP"/>
        </w:rPr>
      </w:pPr>
      <w:proofErr w:type="spellStart"/>
      <w:r w:rsidRPr="000D77B5">
        <w:rPr>
          <w:rFonts w:eastAsia="MS Mincho"/>
          <w:lang w:val="en-US" w:eastAsia="ja-JP"/>
        </w:rPr>
        <w:t>Subband</w:t>
      </w:r>
      <w:proofErr w:type="spellEnd"/>
      <w:r w:rsidRPr="000D77B5">
        <w:rPr>
          <w:rFonts w:eastAsia="MS Mincho"/>
          <w:lang w:val="en-US" w:eastAsia="ja-JP"/>
        </w:rPr>
        <w:t xml:space="preserve"> reporting of phase quantization of beam combining coefficients</w:t>
      </w:r>
    </w:p>
    <w:p w14:paraId="4AD0F47D" w14:textId="77777777" w:rsidR="00F557F5" w:rsidRDefault="00F557F5" w:rsidP="00F557F5">
      <w:pPr>
        <w:numPr>
          <w:ilvl w:val="4"/>
          <w:numId w:val="20"/>
        </w:numPr>
        <w:spacing w:before="0" w:after="0" w:line="240" w:lineRule="auto"/>
        <w:jc w:val="left"/>
        <w:rPr>
          <w:rFonts w:eastAsia="MS Mincho"/>
          <w:lang w:val="en-US" w:eastAsia="ja-JP"/>
        </w:rPr>
      </w:pPr>
      <w:r w:rsidRPr="00F557F5">
        <w:rPr>
          <w:rFonts w:eastAsia="MS Mincho"/>
          <w:lang w:val="en-US" w:eastAsia="ja-JP"/>
        </w:rPr>
        <w:t>Configurable between QPSK and 8-PSK phase related information quantization</w:t>
      </w:r>
    </w:p>
    <w:p w14:paraId="0A7E04AD" w14:textId="3BD24FE0" w:rsidR="00911107" w:rsidRPr="00F557F5" w:rsidRDefault="00911107" w:rsidP="00911107">
      <w:pPr>
        <w:numPr>
          <w:ilvl w:val="0"/>
          <w:numId w:val="20"/>
        </w:numPr>
        <w:spacing w:before="0" w:after="0" w:line="240" w:lineRule="auto"/>
        <w:jc w:val="left"/>
        <w:rPr>
          <w:rFonts w:eastAsia="MS Mincho"/>
          <w:lang w:val="en-US" w:eastAsia="ja-JP"/>
        </w:rPr>
      </w:pPr>
      <w:r>
        <w:rPr>
          <w:rFonts w:eastAsia="MS Mincho"/>
          <w:lang w:val="en-US" w:eastAsia="ja-JP"/>
        </w:rPr>
        <w:t>…..</w:t>
      </w:r>
    </w:p>
    <w:p w14:paraId="3905087B" w14:textId="6A237359" w:rsidR="00AD6148" w:rsidRPr="008C3FDD" w:rsidRDefault="009824E7" w:rsidP="007C6CD5">
      <w:pPr>
        <w:pStyle w:val="maintext"/>
        <w:ind w:firstLineChars="0" w:firstLine="0"/>
      </w:pPr>
      <w:r>
        <w:lastRenderedPageBreak/>
        <w:t>The companion contribution [4</w:t>
      </w:r>
      <w:r w:rsidR="007C6CD5">
        <w:t xml:space="preserve">] proposes a linear combination based codebook for the Type II CSI reporting for Category 1. </w:t>
      </w:r>
      <w:r w:rsidR="007C6CD5" w:rsidRPr="008C3FDD">
        <w:t xml:space="preserve">This contribution </w:t>
      </w:r>
      <w:r w:rsidR="007C6CD5">
        <w:t>provides</w:t>
      </w:r>
      <w:r w:rsidR="00155C6F">
        <w:t xml:space="preserve"> additional</w:t>
      </w:r>
      <w:r w:rsidR="007C6CD5">
        <w:t xml:space="preserve"> simulation results </w:t>
      </w:r>
      <w:r w:rsidR="00A24D63">
        <w:t>in support of the proposed codebook and</w:t>
      </w:r>
      <w:r w:rsidR="00155C6F">
        <w:t xml:space="preserve"> provides the rationale behind the </w:t>
      </w:r>
      <w:r w:rsidR="00A24D63">
        <w:t xml:space="preserve">significant gains </w:t>
      </w:r>
      <w:r w:rsidR="00155C6F">
        <w:t xml:space="preserve">shown by the proposed codebook </w:t>
      </w:r>
      <w:r w:rsidR="00A24D63">
        <w:t xml:space="preserve">over </w:t>
      </w:r>
      <w:r w:rsidR="00155C6F">
        <w:t xml:space="preserve">other </w:t>
      </w:r>
      <w:r w:rsidR="00A24D63">
        <w:t>Type II codebook proposals</w:t>
      </w:r>
      <w:r w:rsidR="007C6CD5">
        <w:t xml:space="preserve">. To reduce CSI payload in each CSI reporting instance, a differential CSI based Type II CSI reporting </w:t>
      </w:r>
      <w:r w:rsidR="00A24D63">
        <w:t>mechanism</w:t>
      </w:r>
      <w:r w:rsidR="007C6CD5">
        <w:t xml:space="preserve"> is proposed </w:t>
      </w:r>
      <w:r w:rsidR="00B05CFC">
        <w:t>in the companion contribution [5</w:t>
      </w:r>
      <w:r w:rsidR="007C6CD5">
        <w:t xml:space="preserve">].  </w:t>
      </w:r>
      <w:r w:rsidR="001C4ABD">
        <w:t xml:space="preserve"> </w:t>
      </w:r>
    </w:p>
    <w:p w14:paraId="0ABF1C3F" w14:textId="77777777" w:rsidR="002958FD" w:rsidRPr="002958FD" w:rsidRDefault="002958FD" w:rsidP="002958FD">
      <w:pPr>
        <w:pStyle w:val="ListParagraph"/>
        <w:keepNext/>
        <w:keepLines/>
        <w:numPr>
          <w:ilvl w:val="0"/>
          <w:numId w:val="1"/>
        </w:numPr>
        <w:overflowPunct w:val="0"/>
        <w:autoSpaceDE w:val="0"/>
        <w:autoSpaceDN w:val="0"/>
        <w:adjustRightInd w:val="0"/>
        <w:spacing w:before="180"/>
        <w:ind w:leftChars="0"/>
        <w:textAlignment w:val="baseline"/>
        <w:outlineLvl w:val="1"/>
        <w:rPr>
          <w:rFonts w:ascii="Arial" w:eastAsia="Batang" w:hAnsi="Arial"/>
          <w:vanish/>
          <w:sz w:val="24"/>
          <w:szCs w:val="32"/>
          <w:lang w:eastAsia="ko-KR"/>
        </w:rPr>
      </w:pPr>
    </w:p>
    <w:p w14:paraId="60AB621E" w14:textId="77777777" w:rsidR="002958FD" w:rsidRPr="002958FD" w:rsidRDefault="002958FD" w:rsidP="002958FD">
      <w:pPr>
        <w:pStyle w:val="ListParagraph"/>
        <w:keepNext/>
        <w:keepLines/>
        <w:numPr>
          <w:ilvl w:val="0"/>
          <w:numId w:val="1"/>
        </w:numPr>
        <w:overflowPunct w:val="0"/>
        <w:autoSpaceDE w:val="0"/>
        <w:autoSpaceDN w:val="0"/>
        <w:adjustRightInd w:val="0"/>
        <w:spacing w:before="180"/>
        <w:ind w:leftChars="0"/>
        <w:textAlignment w:val="baseline"/>
        <w:outlineLvl w:val="1"/>
        <w:rPr>
          <w:rFonts w:ascii="Arial" w:eastAsia="Batang" w:hAnsi="Arial"/>
          <w:vanish/>
          <w:sz w:val="24"/>
          <w:szCs w:val="32"/>
          <w:lang w:eastAsia="ko-KR"/>
        </w:rPr>
      </w:pPr>
    </w:p>
    <w:p w14:paraId="5C48EF12" w14:textId="71BDE69C" w:rsidR="00C41136" w:rsidRDefault="00C41136" w:rsidP="00DE038A">
      <w:pPr>
        <w:pStyle w:val="Heading1"/>
        <w:jc w:val="left"/>
      </w:pPr>
      <w:bookmarkStart w:id="4" w:name="_Ref446598642"/>
      <w:r>
        <w:t>Simulation results</w:t>
      </w:r>
      <w:r w:rsidR="00DE038A">
        <w:t xml:space="preserve"> for Type II CSI Codebook [</w:t>
      </w:r>
      <w:r w:rsidR="009824E7">
        <w:t>4</w:t>
      </w:r>
      <w:r w:rsidR="00DE038A">
        <w:t>]</w:t>
      </w:r>
    </w:p>
    <w:p w14:paraId="2A1C69F3" w14:textId="7625B4CB" w:rsidR="00051107" w:rsidRDefault="00051107" w:rsidP="00051107">
      <w:pPr>
        <w:ind w:right="14"/>
      </w:pPr>
      <w:r>
        <w:t xml:space="preserve">A linear combination based Type II CSI codebook </w:t>
      </w:r>
      <w:r w:rsidRPr="000D1755">
        <w:rPr>
          <w:b/>
        </w:rPr>
        <w:t>W</w:t>
      </w:r>
      <w:r>
        <w:t xml:space="preserve"> = </w:t>
      </w:r>
      <w:r w:rsidRPr="000D1755">
        <w:rPr>
          <w:b/>
        </w:rPr>
        <w:t>W</w:t>
      </w:r>
      <w:r w:rsidRPr="000D1755">
        <w:rPr>
          <w:vertAlign w:val="subscript"/>
        </w:rPr>
        <w:t>1</w:t>
      </w:r>
      <w:r w:rsidRPr="000D1755">
        <w:rPr>
          <w:b/>
        </w:rPr>
        <w:t>W</w:t>
      </w:r>
      <w:r w:rsidRPr="000D1755">
        <w:rPr>
          <w:vertAlign w:val="subscript"/>
        </w:rPr>
        <w:t>2</w:t>
      </w:r>
      <w:r>
        <w:t xml:space="preserve"> is proposed in [</w:t>
      </w:r>
      <w:r w:rsidR="009824E7">
        <w:t>4</w:t>
      </w:r>
      <w:r>
        <w:t>], where</w:t>
      </w:r>
    </w:p>
    <w:p w14:paraId="1F19623A" w14:textId="3FC0B286" w:rsidR="00051107" w:rsidRDefault="00051107" w:rsidP="00051107">
      <w:pPr>
        <w:pStyle w:val="ListParagraph"/>
        <w:numPr>
          <w:ilvl w:val="0"/>
          <w:numId w:val="43"/>
        </w:numPr>
        <w:ind w:leftChars="0" w:right="14"/>
      </w:pPr>
      <w:r w:rsidRPr="00736BBC">
        <w:rPr>
          <w:b/>
        </w:rPr>
        <w:t>W</w:t>
      </w:r>
      <w:r w:rsidRPr="00736BBC">
        <w:rPr>
          <w:vertAlign w:val="subscript"/>
        </w:rPr>
        <w:t>1</w:t>
      </w:r>
      <w:r>
        <w:t xml:space="preserve"> is used for WB reporting of the first PMI (PMI1), which indicates </w:t>
      </w:r>
      <w:r w:rsidRPr="00736BBC">
        <w:rPr>
          <w:i/>
        </w:rPr>
        <w:t>L</w:t>
      </w:r>
      <w:r>
        <w:t xml:space="preserve"> beams selected freely from the orthogonal DFT basis, and the index of the strongest beam/coefficient (out of 2</w:t>
      </w:r>
      <w:r w:rsidRPr="000D1755">
        <w:rPr>
          <w:i/>
        </w:rPr>
        <w:t>L</w:t>
      </w:r>
      <w:r>
        <w:t xml:space="preserve"> coefficients). </w:t>
      </w:r>
    </w:p>
    <w:p w14:paraId="2BDA0178" w14:textId="34A8E646" w:rsidR="00051107" w:rsidRDefault="00051107" w:rsidP="00051107">
      <w:pPr>
        <w:pStyle w:val="ListParagraph"/>
        <w:numPr>
          <w:ilvl w:val="1"/>
          <w:numId w:val="43"/>
        </w:numPr>
        <w:ind w:leftChars="0" w:right="14"/>
      </w:pPr>
      <w:r w:rsidRPr="00E217C8">
        <w:rPr>
          <w:i/>
        </w:rPr>
        <w:t>L</w:t>
      </w:r>
      <w:r w:rsidRPr="00E217C8">
        <w:t xml:space="preserve"> beam selection </w:t>
      </w:r>
      <w:r>
        <w:t>is common for all layers, and</w:t>
      </w:r>
    </w:p>
    <w:p w14:paraId="65772D7C" w14:textId="0C1D9838" w:rsidR="00051107" w:rsidRDefault="00051107" w:rsidP="00051107">
      <w:pPr>
        <w:pStyle w:val="ListParagraph"/>
        <w:numPr>
          <w:ilvl w:val="1"/>
          <w:numId w:val="43"/>
        </w:numPr>
        <w:ind w:leftChars="0" w:right="14"/>
      </w:pPr>
      <w:r>
        <w:t>the strongest beam selection is per layer and can correspond to any one of the two polarizations;</w:t>
      </w:r>
    </w:p>
    <w:p w14:paraId="2818E689" w14:textId="77777777" w:rsidR="00051107" w:rsidRDefault="00051107" w:rsidP="00051107">
      <w:pPr>
        <w:pStyle w:val="ListParagraph"/>
        <w:numPr>
          <w:ilvl w:val="0"/>
          <w:numId w:val="43"/>
        </w:numPr>
        <w:ind w:leftChars="0" w:right="14"/>
      </w:pPr>
      <w:r w:rsidRPr="00736BBC">
        <w:rPr>
          <w:b/>
        </w:rPr>
        <w:t>W</w:t>
      </w:r>
      <w:r w:rsidRPr="00736BBC">
        <w:rPr>
          <w:vertAlign w:val="subscript"/>
        </w:rPr>
        <w:t>2</w:t>
      </w:r>
      <w:r>
        <w:t xml:space="preserve"> is used for SB reporting of the second PMI (PMI2), which indicates phase (and amplitude if reported SB) of remaining 2</w:t>
      </w:r>
      <w:r w:rsidRPr="00736BBC">
        <w:rPr>
          <w:i/>
        </w:rPr>
        <w:t>L</w:t>
      </w:r>
      <w:r>
        <w:t xml:space="preserve"> – 1 linear combination coefficients (the strongest coefficient is set to 1). </w:t>
      </w:r>
    </w:p>
    <w:p w14:paraId="5E50CC3E" w14:textId="3C57D1B9" w:rsidR="00051107" w:rsidRPr="00F37048" w:rsidRDefault="00051107" w:rsidP="00051107">
      <w:pPr>
        <w:ind w:right="14"/>
      </w:pPr>
      <w:r>
        <w:t>For a</w:t>
      </w:r>
      <w:r w:rsidRPr="00F37048">
        <w:t>mplitude reporting</w:t>
      </w:r>
      <w:r>
        <w:t>, three types of reporting has been considered:</w:t>
      </w:r>
      <w:r w:rsidRPr="00F37048">
        <w:t xml:space="preserve"> WB only, SB only, or </w:t>
      </w:r>
      <w:r>
        <w:t xml:space="preserve">differential </w:t>
      </w:r>
      <w:r w:rsidRPr="00F37048">
        <w:t>WB + SB.</w:t>
      </w:r>
    </w:p>
    <w:p w14:paraId="67D82500" w14:textId="77777777" w:rsidR="00FA6ECB" w:rsidRDefault="00FA6ECB" w:rsidP="00FA6ECB">
      <w:pPr>
        <w:ind w:right="14"/>
      </w:pPr>
      <w:r>
        <w:t>For performance evaluation of the proposed Type II CSI codebook, t</w:t>
      </w:r>
      <w:r w:rsidRPr="004E5326">
        <w:t xml:space="preserve">he </w:t>
      </w:r>
      <w:r w:rsidRPr="004E5326">
        <w:rPr>
          <w:rFonts w:hint="eastAsia"/>
        </w:rPr>
        <w:t xml:space="preserve">non-full-buffer system-level </w:t>
      </w:r>
      <w:r w:rsidRPr="004E5326">
        <w:t>e</w:t>
      </w:r>
      <w:r w:rsidRPr="004E5326">
        <w:rPr>
          <w:rFonts w:hint="eastAsia"/>
        </w:rPr>
        <w:t xml:space="preserve">valuation </w:t>
      </w:r>
      <w:r w:rsidRPr="004E5326">
        <w:t>is</w:t>
      </w:r>
      <w:r w:rsidRPr="004E5326">
        <w:rPr>
          <w:rFonts w:hint="eastAsia"/>
        </w:rPr>
        <w:t xml:space="preserve"> </w:t>
      </w:r>
      <w:r w:rsidRPr="004E5326">
        <w:t>carried out for</w:t>
      </w:r>
      <w:r>
        <w:rPr>
          <w:rFonts w:hint="eastAsia"/>
        </w:rPr>
        <w:t xml:space="preserve"> </w:t>
      </w:r>
      <w:proofErr w:type="spellStart"/>
      <w:r>
        <w:rPr>
          <w:rFonts w:hint="eastAsia"/>
        </w:rPr>
        <w:t>UMi</w:t>
      </w:r>
      <w:proofErr w:type="spellEnd"/>
      <w:r>
        <w:t xml:space="preserve"> channel model</w:t>
      </w:r>
      <w:r w:rsidRPr="004E5326">
        <w:rPr>
          <w:rFonts w:hint="eastAsia"/>
        </w:rPr>
        <w:t xml:space="preserve"> in </w:t>
      </w:r>
      <w:r>
        <w:t>medium (5</w:t>
      </w:r>
      <w:r w:rsidRPr="004E5326">
        <w:t>0% targ</w:t>
      </w:r>
      <w:r>
        <w:t xml:space="preserve">et RU) traffic loading scenario, and dynamic switching between SU-MIMO and MU-MIMO is considered in the simulation. The results are provided for 16 antenna ports </w:t>
      </w:r>
      <w:r w:rsidRPr="004E5326">
        <w:t>with</w:t>
      </w:r>
      <w:r w:rsidRPr="004E5326">
        <w:rPr>
          <w:rFonts w:hint="eastAsia"/>
        </w:rPr>
        <w:t xml:space="preserve"> </w:t>
      </w:r>
      <w:r w:rsidRPr="004E5326">
        <w:t>(</w:t>
      </w:r>
      <w:r w:rsidRPr="00BE3AF2">
        <w:rPr>
          <w:i/>
        </w:rPr>
        <w:t>N</w:t>
      </w:r>
      <w:r w:rsidRPr="00BE3AF2">
        <w:rPr>
          <w:vertAlign w:val="subscript"/>
        </w:rPr>
        <w:t>1</w:t>
      </w:r>
      <w:r w:rsidRPr="004E5326">
        <w:t>,</w:t>
      </w:r>
      <w:r>
        <w:t xml:space="preserve"> </w:t>
      </w:r>
      <w:r w:rsidRPr="00BE3AF2">
        <w:rPr>
          <w:i/>
        </w:rPr>
        <w:t>N</w:t>
      </w:r>
      <w:r w:rsidRPr="00BE3AF2">
        <w:rPr>
          <w:vertAlign w:val="subscript"/>
        </w:rPr>
        <w:t>2</w:t>
      </w:r>
      <w:r w:rsidRPr="004E5326">
        <w:rPr>
          <w:rFonts w:hint="eastAsia"/>
        </w:rPr>
        <w:t>) = (</w:t>
      </w:r>
      <w:r>
        <w:t>4, 2</w:t>
      </w:r>
      <w:r w:rsidRPr="004E5326">
        <w:t>)</w:t>
      </w:r>
      <w:r>
        <w:t>, where</w:t>
      </w:r>
      <w:r w:rsidRPr="004E5326">
        <w:t xml:space="preserve"> we assume that the first dimension is horizontal and the second dimension is vertical</w:t>
      </w:r>
      <w:r>
        <w:t xml:space="preserve">. The relevant simulation parameters are enlisted in </w:t>
      </w:r>
      <w:r>
        <w:fldChar w:fldCharType="begin"/>
      </w:r>
      <w:r>
        <w:instrText xml:space="preserve"> REF _Ref458526226 \h </w:instrText>
      </w:r>
      <w:r>
        <w:fldChar w:fldCharType="separate"/>
      </w:r>
      <w:r w:rsidR="008C5F20">
        <w:t xml:space="preserve">Table </w:t>
      </w:r>
      <w:r w:rsidR="008C5F20">
        <w:rPr>
          <w:noProof/>
        </w:rPr>
        <w:t>1</w:t>
      </w:r>
      <w:r>
        <w:fldChar w:fldCharType="end"/>
      </w:r>
      <w:r>
        <w:t xml:space="preserve">. For comparison, the Rel. 14 advanced CSI codebook is considered as reference, and ideal CSI in which dominant eigenvectors are known at </w:t>
      </w:r>
      <w:proofErr w:type="spellStart"/>
      <w:r>
        <w:t>gNB</w:t>
      </w:r>
      <w:proofErr w:type="spellEnd"/>
      <w:r>
        <w:t xml:space="preserve"> is considered as performance upper bound.</w:t>
      </w:r>
    </w:p>
    <w:p w14:paraId="0AD2809B" w14:textId="3F2726AC" w:rsidR="00FA6ECB" w:rsidRDefault="00FA6ECB" w:rsidP="00FA6ECB">
      <w:pPr>
        <w:ind w:right="14"/>
        <w:rPr>
          <w:i/>
          <w:u w:val="single"/>
        </w:rPr>
      </w:pPr>
      <w:r w:rsidRPr="00BE3AF2">
        <w:rPr>
          <w:i/>
          <w:u w:val="single"/>
        </w:rPr>
        <w:t>Evaluation 1:</w:t>
      </w:r>
      <w:r w:rsidR="00A439CD">
        <w:rPr>
          <w:i/>
          <w:u w:val="single"/>
        </w:rPr>
        <w:t xml:space="preserve"> W1 basis</w:t>
      </w:r>
    </w:p>
    <w:p w14:paraId="489C6BC3" w14:textId="09B75DD7" w:rsidR="00FA6ECB" w:rsidRDefault="00FA6ECB" w:rsidP="00FA6ECB">
      <w:pPr>
        <w:ind w:right="14"/>
      </w:pPr>
      <w:r w:rsidRPr="00A44B6D">
        <w:t>In</w:t>
      </w:r>
      <w:r w:rsidR="00A45156">
        <w:t xml:space="preserve"> RAN1-NR#1 [2</w:t>
      </w:r>
      <w:r>
        <w:t xml:space="preserve">], an agreement was made in which different schemes were proposed to be studied belonging to Category 1. One of the main differences between these schemes is the structure of the </w:t>
      </w:r>
      <w:r w:rsidRPr="00FC73CE">
        <w:rPr>
          <w:b/>
        </w:rPr>
        <w:t>W</w:t>
      </w:r>
      <w:r w:rsidRPr="00FC73CE">
        <w:rPr>
          <w:vertAlign w:val="subscript"/>
        </w:rPr>
        <w:t>1</w:t>
      </w:r>
      <w:r>
        <w:t xml:space="preserve"> basis matrix. The following three types of basis matrix were proposed for further study. </w:t>
      </w:r>
    </w:p>
    <w:p w14:paraId="33DEED2F" w14:textId="77777777" w:rsidR="00FA6ECB" w:rsidRDefault="00FA6ECB" w:rsidP="00FA6ECB">
      <w:pPr>
        <w:pStyle w:val="ListParagraph"/>
        <w:numPr>
          <w:ilvl w:val="0"/>
          <w:numId w:val="33"/>
        </w:numPr>
        <w:ind w:leftChars="0" w:right="14"/>
      </w:pPr>
      <w:r>
        <w:t xml:space="preserve">Basis 0 (2 partitions): </w:t>
      </w:r>
      <m:oMath>
        <m:sSub>
          <m:sSubPr>
            <m:ctrlPr>
              <w:rPr>
                <w:rFonts w:ascii="Cambria Math" w:hAnsi="Cambria Math"/>
                <w:i/>
              </w:rPr>
            </m:ctrlPr>
          </m:sSubPr>
          <m:e>
            <m:r>
              <m:rPr>
                <m:sty m:val="bi"/>
              </m:rPr>
              <w:rPr>
                <w:rFonts w:ascii="Cambria Math" w:hAnsi="Cambria Math"/>
              </w:rPr>
              <m:t>W</m:t>
            </m:r>
          </m:e>
          <m:sub>
            <m:r>
              <w:rPr>
                <w:rFonts w:ascii="Cambria Math" w:hAnsi="Cambria Math"/>
              </w:rPr>
              <m:t>1</m:t>
            </m:r>
          </m:sub>
        </m:sSub>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r>
                    <m:rPr>
                      <m:sty m:val="bi"/>
                    </m:rPr>
                    <w:rPr>
                      <w:rFonts w:ascii="Cambria Math" w:hAnsi="Cambria Math"/>
                    </w:rPr>
                    <m:t>B</m:t>
                  </m:r>
                </m:e>
                <m:e>
                  <m:r>
                    <w:rPr>
                      <w:rFonts w:ascii="Cambria Math" w:hAnsi="Cambria Math"/>
                    </w:rPr>
                    <m:t>0</m:t>
                  </m:r>
                </m:e>
              </m:mr>
              <m:mr>
                <m:e>
                  <m:r>
                    <w:rPr>
                      <w:rFonts w:ascii="Cambria Math" w:hAnsi="Cambria Math"/>
                    </w:rPr>
                    <m:t>0</m:t>
                  </m:r>
                </m:e>
                <m:e>
                  <m:r>
                    <m:rPr>
                      <m:sty m:val="bi"/>
                    </m:rPr>
                    <w:rPr>
                      <w:rFonts w:ascii="Cambria Math" w:hAnsi="Cambria Math"/>
                    </w:rPr>
                    <m:t>B</m:t>
                  </m:r>
                </m:e>
              </m:mr>
            </m:m>
          </m:e>
        </m:d>
      </m:oMath>
      <w:r>
        <w:t xml:space="preserve"> </w:t>
      </w:r>
      <w:proofErr w:type="gramStart"/>
      <w:r>
        <w:t xml:space="preserve">where </w:t>
      </w:r>
      <w:proofErr w:type="gramEnd"/>
      <m:oMath>
        <m:sSup>
          <m:sSupPr>
            <m:ctrlPr>
              <w:rPr>
                <w:rFonts w:ascii="Cambria Math" w:hAnsi="Cambria Math"/>
                <w:i/>
              </w:rPr>
            </m:ctrlPr>
          </m:sSupPr>
          <m:e>
            <m:r>
              <m:rPr>
                <m:sty m:val="bi"/>
              </m:rPr>
              <w:rPr>
                <w:rFonts w:ascii="Cambria Math" w:hAnsi="Cambria Math"/>
              </w:rPr>
              <m:t>B</m:t>
            </m:r>
          </m:e>
          <m:sup>
            <m:r>
              <w:rPr>
                <w:rFonts w:ascii="Cambria Math" w:hAnsi="Cambria Math"/>
              </w:rPr>
              <m:t>H</m:t>
            </m:r>
          </m:sup>
        </m:sSup>
        <m:r>
          <m:rPr>
            <m:sty m:val="bi"/>
          </m:rPr>
          <w:rPr>
            <w:rFonts w:ascii="Cambria Math" w:hAnsi="Cambria Math"/>
          </w:rPr>
          <m:t>B</m:t>
        </m:r>
        <m:r>
          <w:rPr>
            <w:rFonts w:ascii="Cambria Math" w:hAnsi="Cambria Math"/>
          </w:rPr>
          <m:t>=</m:t>
        </m:r>
        <m:r>
          <m:rPr>
            <m:sty m:val="bi"/>
          </m:rPr>
          <w:rPr>
            <w:rFonts w:ascii="Cambria Math" w:hAnsi="Cambria Math"/>
          </w:rPr>
          <m:t>I</m:t>
        </m:r>
      </m:oMath>
      <w:r>
        <w:t>.</w:t>
      </w:r>
    </w:p>
    <w:p w14:paraId="0A3DF9A5" w14:textId="77777777" w:rsidR="00FA6ECB" w:rsidRDefault="00FA6ECB" w:rsidP="00FA6ECB">
      <w:pPr>
        <w:pStyle w:val="ListParagraph"/>
        <w:numPr>
          <w:ilvl w:val="0"/>
          <w:numId w:val="33"/>
        </w:numPr>
        <w:ind w:leftChars="0" w:right="14"/>
      </w:pPr>
      <w:r>
        <w:t>Basis 1 (</w:t>
      </w:r>
      <w:proofErr w:type="spellStart"/>
      <w:r>
        <w:t>Hadamard</w:t>
      </w:r>
      <w:proofErr w:type="spellEnd"/>
      <w:r>
        <w:t xml:space="preserve">-type): </w:t>
      </w:r>
      <m:oMath>
        <m:sSub>
          <m:sSubPr>
            <m:ctrlPr>
              <w:rPr>
                <w:rFonts w:ascii="Cambria Math" w:hAnsi="Cambria Math"/>
                <w:i/>
              </w:rPr>
            </m:ctrlPr>
          </m:sSubPr>
          <m:e>
            <m:r>
              <m:rPr>
                <m:sty m:val="bi"/>
              </m:rPr>
              <w:rPr>
                <w:rFonts w:ascii="Cambria Math" w:hAnsi="Cambria Math"/>
              </w:rPr>
              <m:t>W</m:t>
            </m:r>
          </m:e>
          <m:sub>
            <m:r>
              <w:rPr>
                <w:rFonts w:ascii="Cambria Math" w:hAnsi="Cambria Math"/>
              </w:rPr>
              <m:t>1</m:t>
            </m:r>
          </m:sub>
        </m:sSub>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sSub>
                    <m:sSubPr>
                      <m:ctrlPr>
                        <w:rPr>
                          <w:rFonts w:ascii="Cambria Math" w:hAnsi="Cambria Math"/>
                          <w:i/>
                        </w:rPr>
                      </m:ctrlPr>
                    </m:sSubPr>
                    <m:e>
                      <m:r>
                        <m:rPr>
                          <m:sty m:val="bi"/>
                        </m:rPr>
                        <w:rPr>
                          <w:rFonts w:ascii="Cambria Math" w:hAnsi="Cambria Math"/>
                        </w:rPr>
                        <m:t>B</m:t>
                      </m:r>
                    </m:e>
                    <m:sub>
                      <m:r>
                        <w:rPr>
                          <w:rFonts w:ascii="Cambria Math" w:hAnsi="Cambria Math"/>
                        </w:rPr>
                        <m:t>1</m:t>
                      </m:r>
                    </m:sub>
                  </m:sSub>
                </m:e>
                <m:e>
                  <m:sSub>
                    <m:sSubPr>
                      <m:ctrlPr>
                        <w:rPr>
                          <w:rFonts w:ascii="Cambria Math" w:hAnsi="Cambria Math"/>
                          <w:i/>
                        </w:rPr>
                      </m:ctrlPr>
                    </m:sSubPr>
                    <m:e>
                      <m:r>
                        <m:rPr>
                          <m:sty m:val="bi"/>
                        </m:rPr>
                        <w:rPr>
                          <w:rFonts w:ascii="Cambria Math" w:hAnsi="Cambria Math"/>
                        </w:rPr>
                        <m:t>B</m:t>
                      </m:r>
                    </m:e>
                    <m:sub>
                      <m:r>
                        <w:rPr>
                          <w:rFonts w:ascii="Cambria Math" w:hAnsi="Cambria Math"/>
                        </w:rPr>
                        <m:t>2</m:t>
                      </m:r>
                    </m:sub>
                  </m:sSub>
                </m:e>
              </m:mr>
              <m:mr>
                <m:e>
                  <m:sSub>
                    <m:sSubPr>
                      <m:ctrlPr>
                        <w:rPr>
                          <w:rFonts w:ascii="Cambria Math" w:hAnsi="Cambria Math"/>
                          <w:i/>
                        </w:rPr>
                      </m:ctrlPr>
                    </m:sSubPr>
                    <m:e>
                      <m:r>
                        <m:rPr>
                          <m:sty m:val="bi"/>
                        </m:rPr>
                        <w:rPr>
                          <w:rFonts w:ascii="Cambria Math" w:hAnsi="Cambria Math"/>
                        </w:rPr>
                        <m:t>B</m:t>
                      </m:r>
                    </m:e>
                    <m:sub>
                      <m:r>
                        <w:rPr>
                          <w:rFonts w:ascii="Cambria Math" w:hAnsi="Cambria Math"/>
                        </w:rPr>
                        <m:t>1</m:t>
                      </m:r>
                    </m:sub>
                  </m:sSub>
                </m:e>
                <m:e>
                  <m:r>
                    <w:rPr>
                      <w:rFonts w:ascii="Cambria Math" w:hAnsi="Cambria Math"/>
                    </w:rPr>
                    <m:t>-</m:t>
                  </m:r>
                  <m:sSub>
                    <m:sSubPr>
                      <m:ctrlPr>
                        <w:rPr>
                          <w:rFonts w:ascii="Cambria Math" w:hAnsi="Cambria Math"/>
                          <w:i/>
                        </w:rPr>
                      </m:ctrlPr>
                    </m:sSubPr>
                    <m:e>
                      <m:r>
                        <m:rPr>
                          <m:sty m:val="bi"/>
                        </m:rPr>
                        <w:rPr>
                          <w:rFonts w:ascii="Cambria Math" w:hAnsi="Cambria Math"/>
                        </w:rPr>
                        <m:t>B</m:t>
                      </m:r>
                    </m:e>
                    <m:sub>
                      <m:r>
                        <w:rPr>
                          <w:rFonts w:ascii="Cambria Math" w:hAnsi="Cambria Math"/>
                        </w:rPr>
                        <m:t>2</m:t>
                      </m:r>
                    </m:sub>
                  </m:sSub>
                </m:e>
              </m:mr>
            </m:m>
          </m:e>
        </m:d>
      </m:oMath>
      <w:r>
        <w:t xml:space="preserve"> where </w:t>
      </w:r>
      <m:oMath>
        <m:sSubSup>
          <m:sSubSupPr>
            <m:ctrlPr>
              <w:rPr>
                <w:rFonts w:ascii="Cambria Math" w:hAnsi="Cambria Math"/>
                <w:i/>
              </w:rPr>
            </m:ctrlPr>
          </m:sSubSupPr>
          <m:e>
            <m:r>
              <m:rPr>
                <m:sty m:val="bi"/>
              </m:rPr>
              <w:rPr>
                <w:rFonts w:ascii="Cambria Math" w:hAnsi="Cambria Math"/>
              </w:rPr>
              <m:t>B</m:t>
            </m:r>
          </m:e>
          <m:sub>
            <m:r>
              <w:rPr>
                <w:rFonts w:ascii="Cambria Math" w:hAnsi="Cambria Math"/>
              </w:rPr>
              <m:t>i</m:t>
            </m:r>
          </m:sub>
          <m:sup>
            <m:r>
              <w:rPr>
                <w:rFonts w:ascii="Cambria Math" w:hAnsi="Cambria Math"/>
              </w:rPr>
              <m:t>H</m:t>
            </m:r>
          </m:sup>
        </m:sSubSup>
        <m:sSub>
          <m:sSubPr>
            <m:ctrlPr>
              <w:rPr>
                <w:rFonts w:ascii="Cambria Math" w:hAnsi="Cambria Math"/>
                <w:i/>
              </w:rPr>
            </m:ctrlPr>
          </m:sSubPr>
          <m:e>
            <m:r>
              <m:rPr>
                <m:sty m:val="bi"/>
              </m:rPr>
              <w:rPr>
                <w:rFonts w:ascii="Cambria Math" w:hAnsi="Cambria Math"/>
              </w:rPr>
              <m:t>B</m:t>
            </m:r>
          </m:e>
          <m:sub>
            <m:r>
              <w:rPr>
                <w:rFonts w:ascii="Cambria Math" w:hAnsi="Cambria Math"/>
              </w:rPr>
              <m:t>i</m:t>
            </m:r>
          </m:sub>
        </m:sSub>
        <m:r>
          <w:rPr>
            <w:rFonts w:ascii="Cambria Math" w:hAnsi="Cambria Math"/>
          </w:rPr>
          <m:t>=</m:t>
        </m:r>
        <m:r>
          <m:rPr>
            <m:sty m:val="bi"/>
          </m:rPr>
          <w:rPr>
            <w:rFonts w:ascii="Cambria Math" w:hAnsi="Cambria Math"/>
          </w:rPr>
          <m:t>I</m:t>
        </m:r>
        <m:r>
          <w:rPr>
            <w:rFonts w:ascii="Cambria Math" w:hAnsi="Cambria Math"/>
          </w:rPr>
          <m:t>.</m:t>
        </m:r>
      </m:oMath>
    </w:p>
    <w:p w14:paraId="069EF30E" w14:textId="77777777" w:rsidR="00FA6ECB" w:rsidRDefault="00FA6ECB" w:rsidP="00FA6ECB">
      <w:pPr>
        <w:pStyle w:val="ListParagraph"/>
        <w:numPr>
          <w:ilvl w:val="0"/>
          <w:numId w:val="33"/>
        </w:numPr>
        <w:ind w:leftChars="0" w:right="14"/>
      </w:pPr>
      <w:r>
        <w:t xml:space="preserve">Basis 2 (4 partitions): </w:t>
      </w:r>
      <m:oMath>
        <m:sSub>
          <m:sSubPr>
            <m:ctrlPr>
              <w:rPr>
                <w:rFonts w:ascii="Cambria Math" w:hAnsi="Cambria Math"/>
                <w:i/>
              </w:rPr>
            </m:ctrlPr>
          </m:sSubPr>
          <m:e>
            <m:r>
              <m:rPr>
                <m:sty m:val="bi"/>
              </m:rPr>
              <w:rPr>
                <w:rFonts w:ascii="Cambria Math" w:hAnsi="Cambria Math"/>
              </w:rPr>
              <m:t>W</m:t>
            </m:r>
          </m:e>
          <m:sub>
            <m:r>
              <w:rPr>
                <w:rFonts w:ascii="Cambria Math" w:hAnsi="Cambria Math"/>
              </w:rPr>
              <m:t>1</m:t>
            </m:r>
          </m:sub>
        </m:sSub>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r>
                          <m:rPr>
                            <m:sty m:val="bi"/>
                          </m:rPr>
                          <w:rPr>
                            <w:rFonts w:ascii="Cambria Math" w:hAnsi="Cambria Math"/>
                          </w:rPr>
                          <m:t>B</m:t>
                        </m:r>
                      </m:e>
                      <m:e>
                        <m:r>
                          <w:rPr>
                            <w:rFonts w:ascii="Cambria Math" w:hAnsi="Cambria Math"/>
                          </w:rPr>
                          <m:t>0</m:t>
                        </m:r>
                      </m:e>
                    </m:mr>
                    <m:mr>
                      <m:e>
                        <m:r>
                          <w:rPr>
                            <w:rFonts w:ascii="Cambria Math" w:hAnsi="Cambria Math"/>
                          </w:rPr>
                          <m:t>0</m:t>
                        </m:r>
                      </m:e>
                      <m:e>
                        <m:r>
                          <m:rPr>
                            <m:sty m:val="bi"/>
                          </m:rPr>
                          <w:rPr>
                            <w:rFonts w:ascii="Cambria Math" w:hAnsi="Cambria Math"/>
                          </w:rPr>
                          <m:t>B</m:t>
                        </m:r>
                      </m:e>
                    </m:mr>
                  </m:m>
                </m:e>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0</m:t>
                        </m:r>
                      </m:e>
                    </m:mr>
                    <m:mr>
                      <m:e>
                        <m:r>
                          <w:rPr>
                            <w:rFonts w:ascii="Cambria Math" w:hAnsi="Cambria Math"/>
                          </w:rPr>
                          <m:t>0</m:t>
                        </m:r>
                      </m:e>
                      <m:e>
                        <m:r>
                          <w:rPr>
                            <w:rFonts w:ascii="Cambria Math" w:hAnsi="Cambria Math"/>
                          </w:rPr>
                          <m:t>0</m:t>
                        </m:r>
                      </m:e>
                    </m:mr>
                  </m:m>
                </m:e>
              </m:mr>
              <m:mr>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0</m:t>
                        </m:r>
                      </m:e>
                    </m:mr>
                    <m:mr>
                      <m:e>
                        <m:r>
                          <w:rPr>
                            <w:rFonts w:ascii="Cambria Math" w:hAnsi="Cambria Math"/>
                          </w:rPr>
                          <m:t>0</m:t>
                        </m:r>
                      </m:e>
                      <m:e>
                        <m:r>
                          <w:rPr>
                            <w:rFonts w:ascii="Cambria Math" w:hAnsi="Cambria Math"/>
                          </w:rPr>
                          <m:t>0</m:t>
                        </m:r>
                      </m:e>
                    </m:mr>
                  </m:m>
                </m:e>
                <m:e>
                  <m:m>
                    <m:mPr>
                      <m:mcs>
                        <m:mc>
                          <m:mcPr>
                            <m:count m:val="2"/>
                            <m:mcJc m:val="center"/>
                          </m:mcPr>
                        </m:mc>
                      </m:mcs>
                      <m:ctrlPr>
                        <w:rPr>
                          <w:rFonts w:ascii="Cambria Math" w:hAnsi="Cambria Math"/>
                          <w:i/>
                        </w:rPr>
                      </m:ctrlPr>
                    </m:mPr>
                    <m:mr>
                      <m:e>
                        <m:r>
                          <m:rPr>
                            <m:sty m:val="bi"/>
                          </m:rPr>
                          <w:rPr>
                            <w:rFonts w:ascii="Cambria Math" w:hAnsi="Cambria Math"/>
                          </w:rPr>
                          <m:t>B</m:t>
                        </m:r>
                      </m:e>
                      <m:e>
                        <m:r>
                          <w:rPr>
                            <w:rFonts w:ascii="Cambria Math" w:hAnsi="Cambria Math"/>
                          </w:rPr>
                          <m:t>0</m:t>
                        </m:r>
                      </m:e>
                    </m:mr>
                    <m:mr>
                      <m:e>
                        <m:r>
                          <w:rPr>
                            <w:rFonts w:ascii="Cambria Math" w:hAnsi="Cambria Math"/>
                          </w:rPr>
                          <m:t>0</m:t>
                        </m:r>
                      </m:e>
                      <m:e>
                        <m:r>
                          <m:rPr>
                            <m:sty m:val="bi"/>
                          </m:rPr>
                          <w:rPr>
                            <w:rFonts w:ascii="Cambria Math" w:hAnsi="Cambria Math"/>
                          </w:rPr>
                          <m:t>B</m:t>
                        </m:r>
                      </m:e>
                    </m:mr>
                  </m:m>
                </m:e>
              </m:mr>
            </m:m>
          </m:e>
        </m:d>
      </m:oMath>
      <w:r>
        <w:t xml:space="preserve"> where </w:t>
      </w:r>
      <m:oMath>
        <m:sSup>
          <m:sSupPr>
            <m:ctrlPr>
              <w:rPr>
                <w:rFonts w:ascii="Cambria Math" w:hAnsi="Cambria Math"/>
                <w:i/>
              </w:rPr>
            </m:ctrlPr>
          </m:sSupPr>
          <m:e>
            <m:r>
              <m:rPr>
                <m:sty m:val="bi"/>
              </m:rPr>
              <w:rPr>
                <w:rFonts w:ascii="Cambria Math" w:hAnsi="Cambria Math"/>
              </w:rPr>
              <m:t>B</m:t>
            </m:r>
          </m:e>
          <m:sup>
            <m:r>
              <w:rPr>
                <w:rFonts w:ascii="Cambria Math" w:hAnsi="Cambria Math"/>
              </w:rPr>
              <m:t>H</m:t>
            </m:r>
          </m:sup>
        </m:sSup>
        <m:r>
          <m:rPr>
            <m:sty m:val="bi"/>
          </m:rPr>
          <w:rPr>
            <w:rFonts w:ascii="Cambria Math" w:hAnsi="Cambria Math"/>
          </w:rPr>
          <m:t>B</m:t>
        </m:r>
        <m:r>
          <w:rPr>
            <w:rFonts w:ascii="Cambria Math" w:hAnsi="Cambria Math"/>
          </w:rPr>
          <m:t>=</m:t>
        </m:r>
        <m:r>
          <m:rPr>
            <m:sty m:val="bi"/>
          </m:rPr>
          <w:rPr>
            <w:rFonts w:ascii="Cambria Math" w:hAnsi="Cambria Math"/>
          </w:rPr>
          <m:t>I</m:t>
        </m:r>
        <m:r>
          <w:rPr>
            <w:rFonts w:ascii="Cambria Math" w:hAnsi="Cambria Math"/>
          </w:rPr>
          <m:t>.</m:t>
        </m:r>
      </m:oMath>
    </w:p>
    <w:p w14:paraId="08373A32" w14:textId="77777777" w:rsidR="00F61CD7" w:rsidRDefault="00F61CD7" w:rsidP="00F61CD7">
      <w:pPr>
        <w:ind w:right="14"/>
      </w:pPr>
      <w:r>
        <w:rPr>
          <w:rFonts w:eastAsia="SimSun"/>
          <w:kern w:val="2"/>
          <w:lang w:eastAsia="zh-CN"/>
        </w:rPr>
        <w:t xml:space="preserve">The three alternatives for the </w:t>
      </w:r>
      <w:r w:rsidRPr="00442470">
        <w:rPr>
          <w:rFonts w:eastAsia="SimSun"/>
          <w:b/>
          <w:kern w:val="2"/>
          <w:lang w:eastAsia="zh-CN"/>
        </w:rPr>
        <w:t>W</w:t>
      </w:r>
      <w:r w:rsidRPr="00442470">
        <w:rPr>
          <w:rFonts w:eastAsia="SimSun"/>
          <w:kern w:val="2"/>
          <w:vertAlign w:val="subscript"/>
          <w:lang w:eastAsia="zh-CN"/>
        </w:rPr>
        <w:t>1</w:t>
      </w:r>
      <w:r>
        <w:rPr>
          <w:rFonts w:eastAsia="SimSun"/>
          <w:kern w:val="2"/>
          <w:lang w:eastAsia="zh-CN"/>
        </w:rPr>
        <w:t xml:space="preserve"> basis matrix are evaluated. </w:t>
      </w:r>
      <w:r>
        <w:t xml:space="preserve">The simulation results for </w:t>
      </w:r>
      <w:r w:rsidRPr="00010B06">
        <w:rPr>
          <w:i/>
        </w:rPr>
        <w:t>L</w:t>
      </w:r>
      <w:r>
        <w:t xml:space="preserve"> = 4 beams are shown in </w:t>
      </w:r>
      <w:r>
        <w:fldChar w:fldCharType="begin"/>
      </w:r>
      <w:r>
        <w:instrText xml:space="preserve"> REF _Ref474095308 \h </w:instrText>
      </w:r>
      <w:r>
        <w:fldChar w:fldCharType="separate"/>
      </w:r>
      <w:r w:rsidR="008C5F20">
        <w:t xml:space="preserve">Figure </w:t>
      </w:r>
      <w:r w:rsidR="008C5F20">
        <w:rPr>
          <w:noProof/>
        </w:rPr>
        <w:t>1</w:t>
      </w:r>
      <w:r>
        <w:fldChar w:fldCharType="end"/>
      </w:r>
      <w:r>
        <w:t xml:space="preserve"> (for </w:t>
      </w:r>
      <w:proofErr w:type="spellStart"/>
      <w:r>
        <w:t>unquantized</w:t>
      </w:r>
      <w:proofErr w:type="spellEnd"/>
      <w:r>
        <w:t xml:space="preserve"> amplitude and phase) and </w:t>
      </w:r>
      <w:r>
        <w:fldChar w:fldCharType="begin"/>
      </w:r>
      <w:r>
        <w:instrText xml:space="preserve"> REF _Ref474136941 \h </w:instrText>
      </w:r>
      <w:r>
        <w:fldChar w:fldCharType="separate"/>
      </w:r>
      <w:r w:rsidR="008C5F20">
        <w:t xml:space="preserve">Figure </w:t>
      </w:r>
      <w:r w:rsidR="008C5F20">
        <w:rPr>
          <w:noProof/>
        </w:rPr>
        <w:t>2</w:t>
      </w:r>
      <w:r>
        <w:fldChar w:fldCharType="end"/>
      </w:r>
      <w:r>
        <w:t xml:space="preserve"> (for quantized amplitude and phase; 3 bit quantization is used for both), where phase reporting is SB, and amplitude reporting is either WB or SB. We can make the following observation.</w:t>
      </w:r>
    </w:p>
    <w:p w14:paraId="49C0333B" w14:textId="77777777" w:rsidR="00F61CD7" w:rsidRDefault="00F61CD7" w:rsidP="00F61CD7">
      <w:pPr>
        <w:ind w:right="14"/>
        <w:rPr>
          <w:i/>
        </w:rPr>
      </w:pPr>
      <w:r w:rsidRPr="007A0881">
        <w:rPr>
          <w:b/>
          <w:i/>
        </w:rPr>
        <w:t>Observation 1</w:t>
      </w:r>
      <w:r w:rsidRPr="007A0881">
        <w:rPr>
          <w:i/>
        </w:rPr>
        <w:t>:</w:t>
      </w:r>
      <w:r>
        <w:rPr>
          <w:i/>
        </w:rPr>
        <w:t xml:space="preserve"> </w:t>
      </w:r>
    </w:p>
    <w:p w14:paraId="6D7A3892" w14:textId="77777777" w:rsidR="00F61CD7" w:rsidRPr="00C46B22" w:rsidRDefault="00F61CD7" w:rsidP="00F61CD7">
      <w:pPr>
        <w:pStyle w:val="ListParagraph"/>
        <w:numPr>
          <w:ilvl w:val="0"/>
          <w:numId w:val="34"/>
        </w:numPr>
        <w:ind w:leftChars="0" w:right="14"/>
        <w:rPr>
          <w:i/>
        </w:rPr>
      </w:pPr>
      <w:r w:rsidRPr="00C46B22">
        <w:rPr>
          <w:i/>
        </w:rPr>
        <w:t xml:space="preserve">Basis 2 (four partitions) is the worst of the three basis matrices; </w:t>
      </w:r>
    </w:p>
    <w:p w14:paraId="04D92697" w14:textId="77777777" w:rsidR="00F61CD7" w:rsidRPr="00C46B22" w:rsidRDefault="00F61CD7" w:rsidP="00F61CD7">
      <w:pPr>
        <w:pStyle w:val="ListParagraph"/>
        <w:numPr>
          <w:ilvl w:val="0"/>
          <w:numId w:val="34"/>
        </w:numPr>
        <w:ind w:leftChars="0" w:right="14"/>
        <w:rPr>
          <w:i/>
        </w:rPr>
      </w:pPr>
      <w:r w:rsidRPr="00C46B22">
        <w:rPr>
          <w:i/>
        </w:rPr>
        <w:t>Basis 0 (2 partitions) and Basis 1 (</w:t>
      </w:r>
      <w:proofErr w:type="spellStart"/>
      <w:r w:rsidRPr="00C46B22">
        <w:rPr>
          <w:i/>
        </w:rPr>
        <w:t>Hadamard</w:t>
      </w:r>
      <w:proofErr w:type="spellEnd"/>
      <w:r w:rsidRPr="00C46B22">
        <w:rPr>
          <w:i/>
        </w:rPr>
        <w:t xml:space="preserve">-type) are comparable in performance, but Basis 1 requires more </w:t>
      </w:r>
      <w:r w:rsidRPr="00C46B22">
        <w:rPr>
          <w:b/>
          <w:i/>
        </w:rPr>
        <w:t>W</w:t>
      </w:r>
      <w:r w:rsidRPr="00C46B22">
        <w:rPr>
          <w:i/>
          <w:vertAlign w:val="subscript"/>
        </w:rPr>
        <w:t>1</w:t>
      </w:r>
      <w:r w:rsidRPr="00C46B22">
        <w:rPr>
          <w:i/>
        </w:rPr>
        <w:t xml:space="preserve"> reporting overhead (because of independent selection of </w:t>
      </w:r>
      <w:r w:rsidRPr="00C46B22">
        <w:rPr>
          <w:b/>
          <w:i/>
        </w:rPr>
        <w:t>B</w:t>
      </w:r>
      <w:r w:rsidRPr="00C46B22">
        <w:rPr>
          <w:i/>
          <w:vertAlign w:val="subscript"/>
        </w:rPr>
        <w:t>1</w:t>
      </w:r>
      <w:r w:rsidRPr="00C46B22">
        <w:rPr>
          <w:i/>
        </w:rPr>
        <w:t xml:space="preserve"> and </w:t>
      </w:r>
      <w:r w:rsidRPr="00C46B22">
        <w:rPr>
          <w:b/>
          <w:i/>
        </w:rPr>
        <w:t>B</w:t>
      </w:r>
      <w:r w:rsidRPr="00C46B22">
        <w:rPr>
          <w:i/>
          <w:vertAlign w:val="subscript"/>
        </w:rPr>
        <w:t>2</w:t>
      </w:r>
      <w:r w:rsidRPr="00C46B22">
        <w:rPr>
          <w:i/>
        </w:rPr>
        <w:t>) and has more selection complexity than Basis 0.</w:t>
      </w:r>
    </w:p>
    <w:p w14:paraId="19AA118D" w14:textId="77777777" w:rsidR="00F61CD7" w:rsidRPr="00C46B22" w:rsidRDefault="00F61CD7" w:rsidP="00F61CD7">
      <w:pPr>
        <w:pStyle w:val="ListParagraph"/>
        <w:numPr>
          <w:ilvl w:val="0"/>
          <w:numId w:val="34"/>
        </w:numPr>
        <w:ind w:leftChars="0" w:right="14"/>
        <w:rPr>
          <w:i/>
        </w:rPr>
      </w:pPr>
      <w:r>
        <w:rPr>
          <w:i/>
        </w:rPr>
        <w:t xml:space="preserve">Similar observations can be made with both </w:t>
      </w:r>
      <w:proofErr w:type="spellStart"/>
      <w:r>
        <w:rPr>
          <w:i/>
        </w:rPr>
        <w:t>unquantized</w:t>
      </w:r>
      <w:proofErr w:type="spellEnd"/>
      <w:r>
        <w:rPr>
          <w:i/>
        </w:rPr>
        <w:t xml:space="preserve"> and quantized amplitude and phase, and both WB and SB amplitude reporting.</w:t>
      </w:r>
    </w:p>
    <w:p w14:paraId="2C700585" w14:textId="77777777" w:rsidR="00F61CD7" w:rsidRDefault="00F61CD7" w:rsidP="00F61CD7">
      <w:pPr>
        <w:keepNext/>
        <w:ind w:right="14"/>
      </w:pPr>
      <w:r>
        <w:lastRenderedPageBreak/>
        <w:t>We therefore propose the following.</w:t>
      </w:r>
    </w:p>
    <w:p w14:paraId="60909B1A" w14:textId="77777777" w:rsidR="00F61CD7" w:rsidRPr="007A0881" w:rsidRDefault="00F61CD7" w:rsidP="00F61CD7">
      <w:pPr>
        <w:ind w:right="14"/>
        <w:rPr>
          <w:i/>
        </w:rPr>
      </w:pPr>
      <w:r w:rsidRPr="007A0881">
        <w:rPr>
          <w:b/>
          <w:i/>
        </w:rPr>
        <w:t>Proposal 1</w:t>
      </w:r>
      <w:r>
        <w:rPr>
          <w:i/>
        </w:rPr>
        <w:t xml:space="preserve">: For Type II CSI reporting, support Basis 0 (2 partitions) as the </w:t>
      </w:r>
      <w:r w:rsidRPr="00522273">
        <w:rPr>
          <w:b/>
          <w:i/>
        </w:rPr>
        <w:t>W</w:t>
      </w:r>
      <w:r w:rsidRPr="00522273">
        <w:rPr>
          <w:i/>
          <w:vertAlign w:val="subscript"/>
        </w:rPr>
        <w:t>1</w:t>
      </w:r>
      <w:r>
        <w:rPr>
          <w:i/>
        </w:rPr>
        <w:t xml:space="preserve"> basis matrix.</w:t>
      </w:r>
    </w:p>
    <w:p w14:paraId="269B21D8" w14:textId="77777777" w:rsidR="00F61CD7" w:rsidRDefault="00F61CD7" w:rsidP="00F61CD7">
      <w:pPr>
        <w:keepNext/>
        <w:widowControl w:val="0"/>
        <w:spacing w:after="0"/>
        <w:jc w:val="center"/>
      </w:pPr>
      <w:r w:rsidRPr="00AC3A0C">
        <w:rPr>
          <w:rFonts w:eastAsia="SimSun"/>
          <w:noProof/>
          <w:kern w:val="2"/>
          <w:lang w:val="en-US"/>
        </w:rPr>
        <w:drawing>
          <wp:inline distT="0" distB="0" distL="0" distR="0" wp14:anchorId="0F45EA9B" wp14:editId="0846012C">
            <wp:extent cx="5486400" cy="3200400"/>
            <wp:effectExtent l="0" t="0" r="0" b="0"/>
            <wp:docPr id="19" name="Chart 19"/>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286E1670" w14:textId="77777777" w:rsidR="00F61CD7" w:rsidRDefault="00F61CD7" w:rsidP="00F61CD7">
      <w:pPr>
        <w:pStyle w:val="Caption"/>
        <w:jc w:val="center"/>
      </w:pPr>
      <w:bookmarkStart w:id="5" w:name="_Ref474095308"/>
      <w:r>
        <w:t xml:space="preserve">Figure </w:t>
      </w:r>
      <w:r>
        <w:fldChar w:fldCharType="begin"/>
      </w:r>
      <w:r>
        <w:instrText xml:space="preserve"> SEQ Figure \* ARABIC </w:instrText>
      </w:r>
      <w:r>
        <w:fldChar w:fldCharType="separate"/>
      </w:r>
      <w:r w:rsidR="008C5F20">
        <w:rPr>
          <w:noProof/>
        </w:rPr>
        <w:t>1</w:t>
      </w:r>
      <w:r>
        <w:fldChar w:fldCharType="end"/>
      </w:r>
      <w:bookmarkEnd w:id="5"/>
      <w:r>
        <w:t>: Performance comparison of different W</w:t>
      </w:r>
      <w:r w:rsidRPr="00A31DDA">
        <w:rPr>
          <w:vertAlign w:val="subscript"/>
        </w:rPr>
        <w:t>1</w:t>
      </w:r>
      <w:r>
        <w:t xml:space="preserve"> basis </w:t>
      </w:r>
    </w:p>
    <w:p w14:paraId="225F9EA8" w14:textId="77777777" w:rsidR="00F61CD7" w:rsidRDefault="00F61CD7" w:rsidP="00F61CD7">
      <w:pPr>
        <w:keepNext/>
        <w:widowControl w:val="0"/>
        <w:spacing w:after="0"/>
        <w:jc w:val="center"/>
      </w:pPr>
      <w:r>
        <w:rPr>
          <w:rFonts w:eastAsia="SimSun"/>
          <w:noProof/>
          <w:kern w:val="2"/>
          <w:lang w:val="en-US"/>
        </w:rPr>
        <w:drawing>
          <wp:inline distT="0" distB="0" distL="0" distR="0" wp14:anchorId="00A7A5B1" wp14:editId="3A8C2D53">
            <wp:extent cx="5486400" cy="3200400"/>
            <wp:effectExtent l="0" t="0" r="0" b="0"/>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49564FF3" w14:textId="77777777" w:rsidR="00F61CD7" w:rsidRPr="00CC053C" w:rsidRDefault="00F61CD7" w:rsidP="00F61CD7">
      <w:pPr>
        <w:pStyle w:val="Caption"/>
        <w:jc w:val="center"/>
        <w:rPr>
          <w:rFonts w:eastAsia="SimSun"/>
          <w:kern w:val="2"/>
          <w:lang w:eastAsia="zh-CN"/>
        </w:rPr>
      </w:pPr>
      <w:bookmarkStart w:id="6" w:name="_Ref474136941"/>
      <w:r>
        <w:t xml:space="preserve">Figure </w:t>
      </w:r>
      <w:r>
        <w:fldChar w:fldCharType="begin"/>
      </w:r>
      <w:r>
        <w:instrText xml:space="preserve"> SEQ Figure \* ARABIC </w:instrText>
      </w:r>
      <w:r>
        <w:fldChar w:fldCharType="separate"/>
      </w:r>
      <w:r w:rsidR="008C5F20">
        <w:rPr>
          <w:noProof/>
        </w:rPr>
        <w:t>2</w:t>
      </w:r>
      <w:r>
        <w:fldChar w:fldCharType="end"/>
      </w:r>
      <w:bookmarkEnd w:id="6"/>
      <w:r>
        <w:t>: Performance comparison of different W</w:t>
      </w:r>
      <w:r w:rsidRPr="00A31DDA">
        <w:rPr>
          <w:vertAlign w:val="subscript"/>
        </w:rPr>
        <w:t>1</w:t>
      </w:r>
      <w:r>
        <w:t xml:space="preserve"> basis</w:t>
      </w:r>
    </w:p>
    <w:p w14:paraId="2BEA72A3" w14:textId="77777777" w:rsidR="00F61CD7" w:rsidRDefault="00F61CD7" w:rsidP="00A439CD">
      <w:pPr>
        <w:ind w:right="14"/>
        <w:rPr>
          <w:i/>
          <w:u w:val="single"/>
        </w:rPr>
      </w:pPr>
    </w:p>
    <w:p w14:paraId="4FFDA884" w14:textId="5EB2984A" w:rsidR="00A439CD" w:rsidRDefault="00A439CD" w:rsidP="00A439CD">
      <w:pPr>
        <w:ind w:right="14"/>
        <w:rPr>
          <w:i/>
          <w:u w:val="single"/>
        </w:rPr>
      </w:pPr>
      <w:r>
        <w:rPr>
          <w:i/>
          <w:u w:val="single"/>
        </w:rPr>
        <w:t>Evaluation 2</w:t>
      </w:r>
      <w:r w:rsidRPr="00BE3AF2">
        <w:rPr>
          <w:i/>
          <w:u w:val="single"/>
        </w:rPr>
        <w:t>:</w:t>
      </w:r>
      <w:r>
        <w:rPr>
          <w:i/>
          <w:u w:val="single"/>
        </w:rPr>
        <w:t xml:space="preserve"> amplitude reporting type</w:t>
      </w:r>
    </w:p>
    <w:p w14:paraId="2ED5E8C3" w14:textId="07B77D92" w:rsidR="00E209D1" w:rsidRDefault="00EB17B9" w:rsidP="00E209D1">
      <w:pPr>
        <w:ind w:right="14"/>
      </w:pPr>
      <w:r>
        <w:t>Assuming Basis 0, w</w:t>
      </w:r>
      <w:r w:rsidR="00DF0F9A">
        <w:t>e next evaluate the following four alternatives for the amplitude reporting types</w:t>
      </w:r>
      <w:r w:rsidR="00F26088">
        <w:t xml:space="preserve"> for two layers</w:t>
      </w:r>
      <w:r w:rsidR="00DF0F9A">
        <w:t>.</w:t>
      </w:r>
      <w:r w:rsidR="00E209D1">
        <w:t xml:space="preserve"> </w:t>
      </w:r>
    </w:p>
    <w:tbl>
      <w:tblPr>
        <w:tblStyle w:val="GridTable1Light"/>
        <w:tblW w:w="5000" w:type="pct"/>
        <w:tblLook w:val="0400" w:firstRow="0" w:lastRow="0" w:firstColumn="0" w:lastColumn="0" w:noHBand="0" w:noVBand="1"/>
      </w:tblPr>
      <w:tblGrid>
        <w:gridCol w:w="4709"/>
        <w:gridCol w:w="4920"/>
      </w:tblGrid>
      <w:tr w:rsidR="00DF0F9A" w:rsidRPr="00DF0F9A" w14:paraId="0A9E0D44" w14:textId="77777777" w:rsidTr="00DF0F9A">
        <w:trPr>
          <w:trHeight w:val="584"/>
        </w:trPr>
        <w:tc>
          <w:tcPr>
            <w:tcW w:w="2445" w:type="pct"/>
            <w:hideMark/>
          </w:tcPr>
          <w:p w14:paraId="740AD7E6" w14:textId="51102274" w:rsidR="00DF0F9A" w:rsidRPr="00DF0F9A" w:rsidRDefault="00DF0F9A" w:rsidP="00DF0F9A">
            <w:pPr>
              <w:spacing w:after="120" w:line="288" w:lineRule="auto"/>
              <w:ind w:right="14"/>
              <w:jc w:val="left"/>
              <w:rPr>
                <w:lang w:val="en-US"/>
              </w:rPr>
            </w:pPr>
            <w:r w:rsidRPr="00DF0F9A">
              <w:rPr>
                <w:rFonts w:hint="eastAsia"/>
                <w:lang w:val="en-US"/>
              </w:rPr>
              <w:t xml:space="preserve">Type 0: </w:t>
            </w:r>
            <m:oMath>
              <m:sSup>
                <m:sSupPr>
                  <m:ctrlPr>
                    <w:rPr>
                      <w:rFonts w:ascii="Cambria Math" w:hAnsi="Cambria Math"/>
                      <w:i/>
                      <w:iCs/>
                      <w:lang w:val="en-US"/>
                    </w:rPr>
                  </m:ctrlPr>
                </m:sSupPr>
                <m:e>
                  <m:d>
                    <m:dPr>
                      <m:begChr m:val="["/>
                      <m:endChr m:val="]"/>
                      <m:ctrlPr>
                        <w:rPr>
                          <w:rFonts w:ascii="Cambria Math" w:hAnsi="Cambria Math"/>
                          <w:i/>
                          <w:iCs/>
                          <w:lang w:val="en-US"/>
                        </w:rPr>
                      </m:ctrlPr>
                    </m:dPr>
                    <m:e>
                      <m:m>
                        <m:mPr>
                          <m:mcs>
                            <m:mc>
                              <m:mcPr>
                                <m:count m:val="2"/>
                                <m:mcJc m:val="center"/>
                              </m:mcPr>
                            </m:mc>
                          </m:mcs>
                          <m:ctrlPr>
                            <w:rPr>
                              <w:rFonts w:ascii="Cambria Math" w:hAnsi="Cambria Math"/>
                              <w:i/>
                              <w:iCs/>
                              <w:lang w:val="en-US"/>
                            </w:rPr>
                          </m:ctrlPr>
                        </m:mPr>
                        <m:mr>
                          <m:e>
                            <m:m>
                              <m:mPr>
                                <m:mcs>
                                  <m:mc>
                                    <m:mcPr>
                                      <m:count m:val="2"/>
                                      <m:mcJc m:val="center"/>
                                    </m:mcPr>
                                  </m:mc>
                                </m:mcs>
                                <m:ctrlPr>
                                  <w:rPr>
                                    <w:rFonts w:ascii="Cambria Math" w:hAnsi="Cambria Math"/>
                                    <w:i/>
                                    <w:iCs/>
                                    <w:lang w:val="en-US"/>
                                  </w:rPr>
                                </m:ctrlPr>
                              </m:mPr>
                              <m:mr>
                                <m:e>
                                  <m:m>
                                    <m:mPr>
                                      <m:mcs>
                                        <m:mc>
                                          <m:mcPr>
                                            <m:count m:val="2"/>
                                            <m:mcJc m:val="center"/>
                                          </m:mcPr>
                                        </m:mc>
                                      </m:mcs>
                                      <m:ctrlPr>
                                        <w:rPr>
                                          <w:rFonts w:ascii="Cambria Math" w:hAnsi="Cambria Math"/>
                                          <w:i/>
                                          <w:iCs/>
                                          <w:lang w:val="en-US"/>
                                        </w:rPr>
                                      </m:ctrlPr>
                                    </m:mPr>
                                    <m:mr>
                                      <m:e>
                                        <m:r>
                                          <w:rPr>
                                            <w:rFonts w:ascii="Cambria Math" w:hAnsi="Cambria Math"/>
                                          </w:rPr>
                                          <m:t>1</m:t>
                                        </m:r>
                                      </m:e>
                                      <m:e>
                                        <m:sSub>
                                          <m:sSubPr>
                                            <m:ctrlPr>
                                              <w:rPr>
                                                <w:rFonts w:ascii="Cambria Math" w:hAnsi="Cambria Math"/>
                                                <w:i/>
                                                <w:iCs/>
                                                <w:lang w:val="en-US"/>
                                              </w:rPr>
                                            </m:ctrlPr>
                                          </m:sSubPr>
                                          <m:e>
                                            <m:r>
                                              <w:rPr>
                                                <w:rFonts w:ascii="Cambria Math" w:hAnsi="Cambria Math"/>
                                              </w:rPr>
                                              <m:t>a</m:t>
                                            </m:r>
                                          </m:e>
                                          <m:sub>
                                            <m:r>
                                              <w:rPr>
                                                <w:rFonts w:ascii="Cambria Math" w:hAnsi="Cambria Math"/>
                                              </w:rPr>
                                              <m:t>1</m:t>
                                            </m:r>
                                          </m:sub>
                                        </m:sSub>
                                      </m:e>
                                    </m:mr>
                                  </m:m>
                                </m:e>
                                <m:e>
                                  <m:m>
                                    <m:mPr>
                                      <m:mcs>
                                        <m:mc>
                                          <m:mcPr>
                                            <m:count m:val="2"/>
                                            <m:mcJc m:val="center"/>
                                          </m:mcPr>
                                        </m:mc>
                                      </m:mcs>
                                      <m:ctrlPr>
                                        <w:rPr>
                                          <w:rFonts w:ascii="Cambria Math" w:hAnsi="Cambria Math"/>
                                          <w:i/>
                                          <w:iCs/>
                                          <w:lang w:val="en-US"/>
                                        </w:rPr>
                                      </m:ctrlPr>
                                    </m:mPr>
                                    <m:mr>
                                      <m:e>
                                        <m:r>
                                          <w:rPr>
                                            <w:rFonts w:ascii="Cambria Math" w:hAnsi="Cambria Math"/>
                                          </w:rPr>
                                          <m:t>⋯</m:t>
                                        </m:r>
                                      </m:e>
                                      <m:e>
                                        <m:sSub>
                                          <m:sSubPr>
                                            <m:ctrlPr>
                                              <w:rPr>
                                                <w:rFonts w:ascii="Cambria Math" w:hAnsi="Cambria Math"/>
                                                <w:i/>
                                                <w:iCs/>
                                                <w:lang w:val="en-US"/>
                                              </w:rPr>
                                            </m:ctrlPr>
                                          </m:sSubPr>
                                          <m:e>
                                            <m:r>
                                              <w:rPr>
                                                <w:rFonts w:ascii="Cambria Math" w:hAnsi="Cambria Math"/>
                                              </w:rPr>
                                              <m:t>a</m:t>
                                            </m:r>
                                          </m:e>
                                          <m:sub>
                                            <m:r>
                                              <w:rPr>
                                                <w:rFonts w:ascii="Cambria Math" w:hAnsi="Cambria Math"/>
                                              </w:rPr>
                                              <m:t>L-1</m:t>
                                            </m:r>
                                          </m:sub>
                                        </m:sSub>
                                      </m:e>
                                    </m:mr>
                                  </m:m>
                                </m:e>
                              </m:mr>
                            </m:m>
                          </m:e>
                          <m:e>
                            <m:m>
                              <m:mPr>
                                <m:mcs>
                                  <m:mc>
                                    <m:mcPr>
                                      <m:count m:val="2"/>
                                      <m:mcJc m:val="center"/>
                                    </m:mcPr>
                                  </m:mc>
                                </m:mcs>
                                <m:ctrlPr>
                                  <w:rPr>
                                    <w:rFonts w:ascii="Cambria Math" w:hAnsi="Cambria Math"/>
                                    <w:i/>
                                    <w:iCs/>
                                    <w:lang w:val="en-US"/>
                                  </w:rPr>
                                </m:ctrlPr>
                              </m:mPr>
                              <m:mr>
                                <m:e>
                                  <m:m>
                                    <m:mPr>
                                      <m:mcs>
                                        <m:mc>
                                          <m:mcPr>
                                            <m:count m:val="2"/>
                                            <m:mcJc m:val="center"/>
                                          </m:mcPr>
                                        </m:mc>
                                      </m:mcs>
                                      <m:ctrlPr>
                                        <w:rPr>
                                          <w:rFonts w:ascii="Cambria Math" w:hAnsi="Cambria Math"/>
                                          <w:i/>
                                          <w:iCs/>
                                          <w:lang w:val="en-US"/>
                                        </w:rPr>
                                      </m:ctrlPr>
                                    </m:mPr>
                                    <m:mr>
                                      <m:e>
                                        <m:r>
                                          <w:rPr>
                                            <w:rFonts w:ascii="Cambria Math" w:hAnsi="Cambria Math"/>
                                          </w:rPr>
                                          <m:t>1</m:t>
                                        </m:r>
                                      </m:e>
                                      <m:e>
                                        <m:sSub>
                                          <m:sSubPr>
                                            <m:ctrlPr>
                                              <w:rPr>
                                                <w:rFonts w:ascii="Cambria Math" w:hAnsi="Cambria Math"/>
                                                <w:i/>
                                                <w:iCs/>
                                                <w:lang w:val="en-US"/>
                                              </w:rPr>
                                            </m:ctrlPr>
                                          </m:sSubPr>
                                          <m:e>
                                            <m:r>
                                              <w:rPr>
                                                <w:rFonts w:ascii="Cambria Math" w:hAnsi="Cambria Math"/>
                                              </w:rPr>
                                              <m:t>a</m:t>
                                            </m:r>
                                          </m:e>
                                          <m:sub>
                                            <m:r>
                                              <w:rPr>
                                                <w:rFonts w:ascii="Cambria Math" w:hAnsi="Cambria Math"/>
                                              </w:rPr>
                                              <m:t>1</m:t>
                                            </m:r>
                                          </m:sub>
                                        </m:sSub>
                                      </m:e>
                                    </m:mr>
                                  </m:m>
                                </m:e>
                                <m:e>
                                  <m:m>
                                    <m:mPr>
                                      <m:mcs>
                                        <m:mc>
                                          <m:mcPr>
                                            <m:count m:val="2"/>
                                            <m:mcJc m:val="center"/>
                                          </m:mcPr>
                                        </m:mc>
                                      </m:mcs>
                                      <m:ctrlPr>
                                        <w:rPr>
                                          <w:rFonts w:ascii="Cambria Math" w:hAnsi="Cambria Math"/>
                                          <w:i/>
                                          <w:iCs/>
                                          <w:lang w:val="en-US"/>
                                        </w:rPr>
                                      </m:ctrlPr>
                                    </m:mPr>
                                    <m:mr>
                                      <m:e>
                                        <m:r>
                                          <w:rPr>
                                            <w:rFonts w:ascii="Cambria Math" w:hAnsi="Cambria Math"/>
                                          </w:rPr>
                                          <m:t>⋯</m:t>
                                        </m:r>
                                      </m:e>
                                      <m:e>
                                        <m:sSub>
                                          <m:sSubPr>
                                            <m:ctrlPr>
                                              <w:rPr>
                                                <w:rFonts w:ascii="Cambria Math" w:hAnsi="Cambria Math"/>
                                                <w:i/>
                                                <w:iCs/>
                                                <w:lang w:val="en-US"/>
                                              </w:rPr>
                                            </m:ctrlPr>
                                          </m:sSubPr>
                                          <m:e>
                                            <m:r>
                                              <w:rPr>
                                                <w:rFonts w:ascii="Cambria Math" w:hAnsi="Cambria Math"/>
                                              </w:rPr>
                                              <m:t>a</m:t>
                                            </m:r>
                                          </m:e>
                                          <m:sub>
                                            <m:r>
                                              <w:rPr>
                                                <w:rFonts w:ascii="Cambria Math" w:hAnsi="Cambria Math"/>
                                              </w:rPr>
                                              <m:t>L-1</m:t>
                                            </m:r>
                                          </m:sub>
                                        </m:sSub>
                                      </m:e>
                                    </m:mr>
                                  </m:m>
                                </m:e>
                              </m:mr>
                            </m:m>
                          </m:e>
                        </m:mr>
                        <m:mr>
                          <m:e>
                            <m:m>
                              <m:mPr>
                                <m:mcs>
                                  <m:mc>
                                    <m:mcPr>
                                      <m:count m:val="2"/>
                                      <m:mcJc m:val="center"/>
                                    </m:mcPr>
                                  </m:mc>
                                </m:mcs>
                                <m:ctrlPr>
                                  <w:rPr>
                                    <w:rFonts w:ascii="Cambria Math" w:hAnsi="Cambria Math"/>
                                    <w:i/>
                                    <w:iCs/>
                                    <w:lang w:val="en-US"/>
                                  </w:rPr>
                                </m:ctrlPr>
                              </m:mPr>
                              <m:mr>
                                <m:e>
                                  <m:m>
                                    <m:mPr>
                                      <m:mcs>
                                        <m:mc>
                                          <m:mcPr>
                                            <m:count m:val="2"/>
                                            <m:mcJc m:val="center"/>
                                          </m:mcPr>
                                        </m:mc>
                                      </m:mcs>
                                      <m:ctrlPr>
                                        <w:rPr>
                                          <w:rFonts w:ascii="Cambria Math" w:hAnsi="Cambria Math"/>
                                          <w:i/>
                                          <w:iCs/>
                                          <w:lang w:val="en-US"/>
                                        </w:rPr>
                                      </m:ctrlPr>
                                    </m:mPr>
                                    <m:mr>
                                      <m:e>
                                        <m:r>
                                          <w:rPr>
                                            <w:rFonts w:ascii="Cambria Math" w:hAnsi="Cambria Math"/>
                                          </w:rPr>
                                          <m:t>1</m:t>
                                        </m:r>
                                      </m:e>
                                      <m:e>
                                        <m:sSub>
                                          <m:sSubPr>
                                            <m:ctrlPr>
                                              <w:rPr>
                                                <w:rFonts w:ascii="Cambria Math" w:hAnsi="Cambria Math"/>
                                                <w:i/>
                                                <w:iCs/>
                                                <w:lang w:val="en-US"/>
                                              </w:rPr>
                                            </m:ctrlPr>
                                          </m:sSubPr>
                                          <m:e>
                                            <m:r>
                                              <w:rPr>
                                                <w:rFonts w:ascii="Cambria Math" w:hAnsi="Cambria Math"/>
                                              </w:rPr>
                                              <m:t>a</m:t>
                                            </m:r>
                                          </m:e>
                                          <m:sub>
                                            <m:r>
                                              <w:rPr>
                                                <w:rFonts w:ascii="Cambria Math" w:hAnsi="Cambria Math"/>
                                              </w:rPr>
                                              <m:t>1</m:t>
                                            </m:r>
                                          </m:sub>
                                        </m:sSub>
                                      </m:e>
                                    </m:mr>
                                  </m:m>
                                </m:e>
                                <m:e>
                                  <m:m>
                                    <m:mPr>
                                      <m:mcs>
                                        <m:mc>
                                          <m:mcPr>
                                            <m:count m:val="2"/>
                                            <m:mcJc m:val="center"/>
                                          </m:mcPr>
                                        </m:mc>
                                      </m:mcs>
                                      <m:ctrlPr>
                                        <w:rPr>
                                          <w:rFonts w:ascii="Cambria Math" w:hAnsi="Cambria Math"/>
                                          <w:i/>
                                          <w:iCs/>
                                          <w:lang w:val="en-US"/>
                                        </w:rPr>
                                      </m:ctrlPr>
                                    </m:mPr>
                                    <m:mr>
                                      <m:e>
                                        <m:r>
                                          <w:rPr>
                                            <w:rFonts w:ascii="Cambria Math" w:hAnsi="Cambria Math"/>
                                          </w:rPr>
                                          <m:t>⋯</m:t>
                                        </m:r>
                                      </m:e>
                                      <m:e>
                                        <m:sSub>
                                          <m:sSubPr>
                                            <m:ctrlPr>
                                              <w:rPr>
                                                <w:rFonts w:ascii="Cambria Math" w:hAnsi="Cambria Math"/>
                                                <w:i/>
                                                <w:iCs/>
                                                <w:lang w:val="en-US"/>
                                              </w:rPr>
                                            </m:ctrlPr>
                                          </m:sSubPr>
                                          <m:e>
                                            <m:r>
                                              <w:rPr>
                                                <w:rFonts w:ascii="Cambria Math" w:hAnsi="Cambria Math"/>
                                              </w:rPr>
                                              <m:t>a</m:t>
                                            </m:r>
                                          </m:e>
                                          <m:sub>
                                            <m:r>
                                              <w:rPr>
                                                <w:rFonts w:ascii="Cambria Math" w:hAnsi="Cambria Math"/>
                                              </w:rPr>
                                              <m:t>L-1</m:t>
                                            </m:r>
                                          </m:sub>
                                        </m:sSub>
                                      </m:e>
                                    </m:mr>
                                  </m:m>
                                </m:e>
                              </m:mr>
                            </m:m>
                          </m:e>
                          <m:e>
                            <m:m>
                              <m:mPr>
                                <m:mcs>
                                  <m:mc>
                                    <m:mcPr>
                                      <m:count m:val="2"/>
                                      <m:mcJc m:val="center"/>
                                    </m:mcPr>
                                  </m:mc>
                                </m:mcs>
                                <m:ctrlPr>
                                  <w:rPr>
                                    <w:rFonts w:ascii="Cambria Math" w:hAnsi="Cambria Math"/>
                                    <w:i/>
                                    <w:iCs/>
                                    <w:lang w:val="en-US"/>
                                  </w:rPr>
                                </m:ctrlPr>
                              </m:mPr>
                              <m:mr>
                                <m:e>
                                  <m:m>
                                    <m:mPr>
                                      <m:mcs>
                                        <m:mc>
                                          <m:mcPr>
                                            <m:count m:val="2"/>
                                            <m:mcJc m:val="center"/>
                                          </m:mcPr>
                                        </m:mc>
                                      </m:mcs>
                                      <m:ctrlPr>
                                        <w:rPr>
                                          <w:rFonts w:ascii="Cambria Math" w:hAnsi="Cambria Math"/>
                                          <w:i/>
                                          <w:iCs/>
                                          <w:lang w:val="en-US"/>
                                        </w:rPr>
                                      </m:ctrlPr>
                                    </m:mPr>
                                    <m:mr>
                                      <m:e>
                                        <m:r>
                                          <w:rPr>
                                            <w:rFonts w:ascii="Cambria Math" w:hAnsi="Cambria Math"/>
                                          </w:rPr>
                                          <m:t>1</m:t>
                                        </m:r>
                                      </m:e>
                                      <m:e>
                                        <m:sSub>
                                          <m:sSubPr>
                                            <m:ctrlPr>
                                              <w:rPr>
                                                <w:rFonts w:ascii="Cambria Math" w:hAnsi="Cambria Math"/>
                                                <w:i/>
                                                <w:iCs/>
                                                <w:lang w:val="en-US"/>
                                              </w:rPr>
                                            </m:ctrlPr>
                                          </m:sSubPr>
                                          <m:e>
                                            <m:r>
                                              <w:rPr>
                                                <w:rFonts w:ascii="Cambria Math" w:hAnsi="Cambria Math"/>
                                              </w:rPr>
                                              <m:t>a</m:t>
                                            </m:r>
                                          </m:e>
                                          <m:sub>
                                            <m:r>
                                              <w:rPr>
                                                <w:rFonts w:ascii="Cambria Math" w:hAnsi="Cambria Math"/>
                                              </w:rPr>
                                              <m:t>1</m:t>
                                            </m:r>
                                          </m:sub>
                                        </m:sSub>
                                      </m:e>
                                    </m:mr>
                                  </m:m>
                                </m:e>
                                <m:e>
                                  <m:m>
                                    <m:mPr>
                                      <m:mcs>
                                        <m:mc>
                                          <m:mcPr>
                                            <m:count m:val="2"/>
                                            <m:mcJc m:val="center"/>
                                          </m:mcPr>
                                        </m:mc>
                                      </m:mcs>
                                      <m:ctrlPr>
                                        <w:rPr>
                                          <w:rFonts w:ascii="Cambria Math" w:hAnsi="Cambria Math"/>
                                          <w:i/>
                                          <w:iCs/>
                                          <w:lang w:val="en-US"/>
                                        </w:rPr>
                                      </m:ctrlPr>
                                    </m:mPr>
                                    <m:mr>
                                      <m:e>
                                        <m:r>
                                          <w:rPr>
                                            <w:rFonts w:ascii="Cambria Math" w:hAnsi="Cambria Math"/>
                                          </w:rPr>
                                          <m:t>⋯</m:t>
                                        </m:r>
                                      </m:e>
                                      <m:e>
                                        <m:sSub>
                                          <m:sSubPr>
                                            <m:ctrlPr>
                                              <w:rPr>
                                                <w:rFonts w:ascii="Cambria Math" w:hAnsi="Cambria Math"/>
                                                <w:i/>
                                                <w:iCs/>
                                                <w:lang w:val="en-US"/>
                                              </w:rPr>
                                            </m:ctrlPr>
                                          </m:sSubPr>
                                          <m:e>
                                            <m:r>
                                              <w:rPr>
                                                <w:rFonts w:ascii="Cambria Math" w:hAnsi="Cambria Math"/>
                                              </w:rPr>
                                              <m:t>a</m:t>
                                            </m:r>
                                          </m:e>
                                          <m:sub>
                                            <m:r>
                                              <w:rPr>
                                                <w:rFonts w:ascii="Cambria Math" w:hAnsi="Cambria Math"/>
                                              </w:rPr>
                                              <m:t>L-1</m:t>
                                            </m:r>
                                          </m:sub>
                                        </m:sSub>
                                      </m:e>
                                    </m:mr>
                                  </m:m>
                                </m:e>
                              </m:mr>
                            </m:m>
                          </m:e>
                        </m:mr>
                      </m:m>
                    </m:e>
                  </m:d>
                </m:e>
                <m:sup>
                  <m:r>
                    <w:rPr>
                      <w:rFonts w:ascii="Cambria Math" w:hAnsi="Cambria Math"/>
                    </w:rPr>
                    <m:t>T</m:t>
                  </m:r>
                </m:sup>
              </m:sSup>
            </m:oMath>
          </w:p>
        </w:tc>
        <w:tc>
          <w:tcPr>
            <w:tcW w:w="2555" w:type="pct"/>
            <w:hideMark/>
          </w:tcPr>
          <w:p w14:paraId="5F0980C6" w14:textId="28531264" w:rsidR="00DF0F9A" w:rsidRPr="00DF0F9A" w:rsidRDefault="00DF0F9A" w:rsidP="00DF0F9A">
            <w:pPr>
              <w:spacing w:after="120" w:line="288" w:lineRule="auto"/>
              <w:ind w:right="14"/>
              <w:jc w:val="left"/>
              <w:rPr>
                <w:lang w:val="en-US"/>
              </w:rPr>
            </w:pPr>
            <w:r w:rsidRPr="00DF0F9A">
              <w:rPr>
                <w:rFonts w:hint="eastAsia"/>
                <w:lang w:val="en-US"/>
              </w:rPr>
              <w:t xml:space="preserve">Type 1: </w:t>
            </w:r>
            <m:oMath>
              <m:sSup>
                <m:sSupPr>
                  <m:ctrlPr>
                    <w:rPr>
                      <w:rFonts w:ascii="Cambria Math" w:hAnsi="Cambria Math"/>
                      <w:i/>
                      <w:iCs/>
                      <w:lang w:val="en-US"/>
                    </w:rPr>
                  </m:ctrlPr>
                </m:sSupPr>
                <m:e>
                  <m:d>
                    <m:dPr>
                      <m:begChr m:val="["/>
                      <m:endChr m:val="]"/>
                      <m:ctrlPr>
                        <w:rPr>
                          <w:rFonts w:ascii="Cambria Math" w:hAnsi="Cambria Math"/>
                          <w:i/>
                          <w:iCs/>
                          <w:lang w:val="en-US"/>
                        </w:rPr>
                      </m:ctrlPr>
                    </m:dPr>
                    <m:e>
                      <m:m>
                        <m:mPr>
                          <m:mcs>
                            <m:mc>
                              <m:mcPr>
                                <m:count m:val="2"/>
                                <m:mcJc m:val="center"/>
                              </m:mcPr>
                            </m:mc>
                          </m:mcs>
                          <m:ctrlPr>
                            <w:rPr>
                              <w:rFonts w:ascii="Cambria Math" w:hAnsi="Cambria Math"/>
                              <w:i/>
                              <w:iCs/>
                              <w:lang w:val="en-US"/>
                            </w:rPr>
                          </m:ctrlPr>
                        </m:mPr>
                        <m:mr>
                          <m:e>
                            <m:m>
                              <m:mPr>
                                <m:mcs>
                                  <m:mc>
                                    <m:mcPr>
                                      <m:count m:val="2"/>
                                      <m:mcJc m:val="center"/>
                                    </m:mcPr>
                                  </m:mc>
                                </m:mcs>
                                <m:ctrlPr>
                                  <w:rPr>
                                    <w:rFonts w:ascii="Cambria Math" w:hAnsi="Cambria Math"/>
                                    <w:i/>
                                    <w:iCs/>
                                    <w:lang w:val="en-US"/>
                                  </w:rPr>
                                </m:ctrlPr>
                              </m:mPr>
                              <m:mr>
                                <m:e>
                                  <m:m>
                                    <m:mPr>
                                      <m:mcs>
                                        <m:mc>
                                          <m:mcPr>
                                            <m:count m:val="2"/>
                                            <m:mcJc m:val="center"/>
                                          </m:mcPr>
                                        </m:mc>
                                      </m:mcs>
                                      <m:ctrlPr>
                                        <w:rPr>
                                          <w:rFonts w:ascii="Cambria Math" w:hAnsi="Cambria Math"/>
                                          <w:i/>
                                          <w:iCs/>
                                          <w:lang w:val="en-US"/>
                                        </w:rPr>
                                      </m:ctrlPr>
                                    </m:mPr>
                                    <m:mr>
                                      <m:e>
                                        <m:r>
                                          <w:rPr>
                                            <w:rFonts w:ascii="Cambria Math" w:hAnsi="Cambria Math"/>
                                          </w:rPr>
                                          <m:t>1</m:t>
                                        </m:r>
                                      </m:e>
                                      <m:e>
                                        <m:sSub>
                                          <m:sSubPr>
                                            <m:ctrlPr>
                                              <w:rPr>
                                                <w:rFonts w:ascii="Cambria Math" w:hAnsi="Cambria Math"/>
                                                <w:i/>
                                                <w:iCs/>
                                                <w:lang w:val="en-US"/>
                                              </w:rPr>
                                            </m:ctrlPr>
                                          </m:sSubPr>
                                          <m:e>
                                            <m:r>
                                              <w:rPr>
                                                <w:rFonts w:ascii="Cambria Math" w:hAnsi="Cambria Math"/>
                                              </w:rPr>
                                              <m:t>a</m:t>
                                            </m:r>
                                          </m:e>
                                          <m:sub>
                                            <m:r>
                                              <w:rPr>
                                                <w:rFonts w:ascii="Cambria Math" w:hAnsi="Cambria Math"/>
                                              </w:rPr>
                                              <m:t>1</m:t>
                                            </m:r>
                                          </m:sub>
                                        </m:sSub>
                                      </m:e>
                                    </m:mr>
                                  </m:m>
                                </m:e>
                                <m:e>
                                  <m:m>
                                    <m:mPr>
                                      <m:mcs>
                                        <m:mc>
                                          <m:mcPr>
                                            <m:count m:val="2"/>
                                            <m:mcJc m:val="center"/>
                                          </m:mcPr>
                                        </m:mc>
                                      </m:mcs>
                                      <m:ctrlPr>
                                        <w:rPr>
                                          <w:rFonts w:ascii="Cambria Math" w:hAnsi="Cambria Math"/>
                                          <w:i/>
                                          <w:iCs/>
                                          <w:lang w:val="en-US"/>
                                        </w:rPr>
                                      </m:ctrlPr>
                                    </m:mPr>
                                    <m:mr>
                                      <m:e>
                                        <m:r>
                                          <w:rPr>
                                            <w:rFonts w:ascii="Cambria Math" w:hAnsi="Cambria Math"/>
                                          </w:rPr>
                                          <m:t>⋯</m:t>
                                        </m:r>
                                      </m:e>
                                      <m:e>
                                        <m:sSub>
                                          <m:sSubPr>
                                            <m:ctrlPr>
                                              <w:rPr>
                                                <w:rFonts w:ascii="Cambria Math" w:hAnsi="Cambria Math"/>
                                                <w:i/>
                                                <w:iCs/>
                                                <w:lang w:val="en-US"/>
                                              </w:rPr>
                                            </m:ctrlPr>
                                          </m:sSubPr>
                                          <m:e>
                                            <m:r>
                                              <w:rPr>
                                                <w:rFonts w:ascii="Cambria Math" w:hAnsi="Cambria Math"/>
                                              </w:rPr>
                                              <m:t>a</m:t>
                                            </m:r>
                                          </m:e>
                                          <m:sub>
                                            <m:r>
                                              <w:rPr>
                                                <w:rFonts w:ascii="Cambria Math" w:hAnsi="Cambria Math"/>
                                              </w:rPr>
                                              <m:t>L-1</m:t>
                                            </m:r>
                                          </m:sub>
                                        </m:sSub>
                                      </m:e>
                                    </m:mr>
                                  </m:m>
                                </m:e>
                              </m:mr>
                            </m:m>
                          </m:e>
                          <m:e>
                            <m:m>
                              <m:mPr>
                                <m:mcs>
                                  <m:mc>
                                    <m:mcPr>
                                      <m:count m:val="2"/>
                                      <m:mcJc m:val="center"/>
                                    </m:mcPr>
                                  </m:mc>
                                </m:mcs>
                                <m:ctrlPr>
                                  <w:rPr>
                                    <w:rFonts w:ascii="Cambria Math" w:hAnsi="Cambria Math"/>
                                    <w:i/>
                                    <w:iCs/>
                                    <w:lang w:val="en-US"/>
                                  </w:rPr>
                                </m:ctrlPr>
                              </m:mPr>
                              <m:mr>
                                <m:e>
                                  <m:m>
                                    <m:mPr>
                                      <m:mcs>
                                        <m:mc>
                                          <m:mcPr>
                                            <m:count m:val="2"/>
                                            <m:mcJc m:val="center"/>
                                          </m:mcPr>
                                        </m:mc>
                                      </m:mcs>
                                      <m:ctrlPr>
                                        <w:rPr>
                                          <w:rFonts w:ascii="Cambria Math" w:hAnsi="Cambria Math"/>
                                          <w:i/>
                                          <w:iCs/>
                                          <w:lang w:val="en-US"/>
                                        </w:rPr>
                                      </m:ctrlPr>
                                    </m:mPr>
                                    <m:mr>
                                      <m:e>
                                        <m:r>
                                          <w:rPr>
                                            <w:rFonts w:ascii="Cambria Math" w:hAnsi="Cambria Math"/>
                                          </w:rPr>
                                          <m:t>1</m:t>
                                        </m:r>
                                      </m:e>
                                      <m:e>
                                        <m:sSub>
                                          <m:sSubPr>
                                            <m:ctrlPr>
                                              <w:rPr>
                                                <w:rFonts w:ascii="Cambria Math" w:hAnsi="Cambria Math"/>
                                                <w:i/>
                                                <w:iCs/>
                                                <w:lang w:val="en-US"/>
                                              </w:rPr>
                                            </m:ctrlPr>
                                          </m:sSubPr>
                                          <m:e>
                                            <m:r>
                                              <w:rPr>
                                                <w:rFonts w:ascii="Cambria Math" w:hAnsi="Cambria Math"/>
                                              </w:rPr>
                                              <m:t>a</m:t>
                                            </m:r>
                                          </m:e>
                                          <m:sub>
                                            <m:r>
                                              <w:rPr>
                                                <w:rFonts w:ascii="Cambria Math" w:hAnsi="Cambria Math"/>
                                              </w:rPr>
                                              <m:t>1</m:t>
                                            </m:r>
                                          </m:sub>
                                        </m:sSub>
                                      </m:e>
                                    </m:mr>
                                  </m:m>
                                </m:e>
                                <m:e>
                                  <m:m>
                                    <m:mPr>
                                      <m:mcs>
                                        <m:mc>
                                          <m:mcPr>
                                            <m:count m:val="2"/>
                                            <m:mcJc m:val="center"/>
                                          </m:mcPr>
                                        </m:mc>
                                      </m:mcs>
                                      <m:ctrlPr>
                                        <w:rPr>
                                          <w:rFonts w:ascii="Cambria Math" w:hAnsi="Cambria Math"/>
                                          <w:i/>
                                          <w:iCs/>
                                          <w:lang w:val="en-US"/>
                                        </w:rPr>
                                      </m:ctrlPr>
                                    </m:mPr>
                                    <m:mr>
                                      <m:e>
                                        <m:r>
                                          <w:rPr>
                                            <w:rFonts w:ascii="Cambria Math" w:hAnsi="Cambria Math"/>
                                          </w:rPr>
                                          <m:t>⋯</m:t>
                                        </m:r>
                                      </m:e>
                                      <m:e>
                                        <m:sSub>
                                          <m:sSubPr>
                                            <m:ctrlPr>
                                              <w:rPr>
                                                <w:rFonts w:ascii="Cambria Math" w:hAnsi="Cambria Math"/>
                                                <w:i/>
                                                <w:iCs/>
                                                <w:lang w:val="en-US"/>
                                              </w:rPr>
                                            </m:ctrlPr>
                                          </m:sSubPr>
                                          <m:e>
                                            <m:r>
                                              <w:rPr>
                                                <w:rFonts w:ascii="Cambria Math" w:hAnsi="Cambria Math"/>
                                              </w:rPr>
                                              <m:t>a</m:t>
                                            </m:r>
                                          </m:e>
                                          <m:sub>
                                            <m:r>
                                              <w:rPr>
                                                <w:rFonts w:ascii="Cambria Math" w:hAnsi="Cambria Math"/>
                                              </w:rPr>
                                              <m:t>L-1</m:t>
                                            </m:r>
                                          </m:sub>
                                        </m:sSub>
                                      </m:e>
                                    </m:mr>
                                  </m:m>
                                </m:e>
                              </m:mr>
                            </m:m>
                          </m:e>
                        </m:mr>
                        <m:mr>
                          <m:e>
                            <m:m>
                              <m:mPr>
                                <m:mcs>
                                  <m:mc>
                                    <m:mcPr>
                                      <m:count m:val="2"/>
                                      <m:mcJc m:val="center"/>
                                    </m:mcPr>
                                  </m:mc>
                                </m:mcs>
                                <m:ctrlPr>
                                  <w:rPr>
                                    <w:rFonts w:ascii="Cambria Math" w:hAnsi="Cambria Math"/>
                                    <w:i/>
                                    <w:iCs/>
                                    <w:lang w:val="en-US"/>
                                  </w:rPr>
                                </m:ctrlPr>
                              </m:mPr>
                              <m:mr>
                                <m:e>
                                  <m:m>
                                    <m:mPr>
                                      <m:mcs>
                                        <m:mc>
                                          <m:mcPr>
                                            <m:count m:val="2"/>
                                            <m:mcJc m:val="center"/>
                                          </m:mcPr>
                                        </m:mc>
                                      </m:mcs>
                                      <m:ctrlPr>
                                        <w:rPr>
                                          <w:rFonts w:ascii="Cambria Math" w:hAnsi="Cambria Math"/>
                                          <w:i/>
                                          <w:iCs/>
                                          <w:lang w:val="en-US"/>
                                        </w:rPr>
                                      </m:ctrlPr>
                                    </m:mPr>
                                    <m:mr>
                                      <m:e>
                                        <m:r>
                                          <w:rPr>
                                            <w:rFonts w:ascii="Cambria Math" w:hAnsi="Cambria Math"/>
                                          </w:rPr>
                                          <m:t>1</m:t>
                                        </m:r>
                                      </m:e>
                                      <m:e>
                                        <m:sSubSup>
                                          <m:sSubSupPr>
                                            <m:ctrlPr>
                                              <w:rPr>
                                                <w:rFonts w:ascii="Cambria Math" w:hAnsi="Cambria Math"/>
                                                <w:i/>
                                                <w:iCs/>
                                                <w:lang w:val="en-US"/>
                                              </w:rPr>
                                            </m:ctrlPr>
                                          </m:sSubSupPr>
                                          <m:e>
                                            <m:r>
                                              <w:rPr>
                                                <w:rFonts w:ascii="Cambria Math" w:hAnsi="Cambria Math"/>
                                              </w:rPr>
                                              <m:t>a</m:t>
                                            </m:r>
                                          </m:e>
                                          <m:sub>
                                            <m:r>
                                              <w:rPr>
                                                <w:rFonts w:ascii="Cambria Math" w:hAnsi="Cambria Math"/>
                                              </w:rPr>
                                              <m:t>1</m:t>
                                            </m:r>
                                          </m:sub>
                                          <m:sup>
                                            <m:r>
                                              <w:rPr>
                                                <w:rFonts w:ascii="Cambria Math" w:hAnsi="Cambria Math"/>
                                              </w:rPr>
                                              <m:t>'</m:t>
                                            </m:r>
                                          </m:sup>
                                        </m:sSubSup>
                                      </m:e>
                                    </m:mr>
                                  </m:m>
                                </m:e>
                                <m:e>
                                  <m:m>
                                    <m:mPr>
                                      <m:mcs>
                                        <m:mc>
                                          <m:mcPr>
                                            <m:count m:val="2"/>
                                            <m:mcJc m:val="center"/>
                                          </m:mcPr>
                                        </m:mc>
                                      </m:mcs>
                                      <m:ctrlPr>
                                        <w:rPr>
                                          <w:rFonts w:ascii="Cambria Math" w:hAnsi="Cambria Math"/>
                                          <w:i/>
                                          <w:iCs/>
                                          <w:lang w:val="en-US"/>
                                        </w:rPr>
                                      </m:ctrlPr>
                                    </m:mPr>
                                    <m:mr>
                                      <m:e>
                                        <m:r>
                                          <w:rPr>
                                            <w:rFonts w:ascii="Cambria Math" w:hAnsi="Cambria Math"/>
                                          </w:rPr>
                                          <m:t>⋯</m:t>
                                        </m:r>
                                      </m:e>
                                      <m:e>
                                        <m:sSubSup>
                                          <m:sSubSupPr>
                                            <m:ctrlPr>
                                              <w:rPr>
                                                <w:rFonts w:ascii="Cambria Math" w:hAnsi="Cambria Math"/>
                                                <w:i/>
                                                <w:iCs/>
                                                <w:lang w:val="en-US"/>
                                              </w:rPr>
                                            </m:ctrlPr>
                                          </m:sSubSupPr>
                                          <m:e>
                                            <m:r>
                                              <w:rPr>
                                                <w:rFonts w:ascii="Cambria Math" w:hAnsi="Cambria Math"/>
                                              </w:rPr>
                                              <m:t>a</m:t>
                                            </m:r>
                                          </m:e>
                                          <m:sub>
                                            <m:r>
                                              <w:rPr>
                                                <w:rFonts w:ascii="Cambria Math" w:hAnsi="Cambria Math"/>
                                              </w:rPr>
                                              <m:t>L-1</m:t>
                                            </m:r>
                                          </m:sub>
                                          <m:sup>
                                            <m:r>
                                              <w:rPr>
                                                <w:rFonts w:ascii="Cambria Math" w:hAnsi="Cambria Math"/>
                                              </w:rPr>
                                              <m:t>'</m:t>
                                            </m:r>
                                          </m:sup>
                                        </m:sSubSup>
                                      </m:e>
                                    </m:mr>
                                  </m:m>
                                </m:e>
                              </m:mr>
                            </m:m>
                          </m:e>
                          <m:e>
                            <m:m>
                              <m:mPr>
                                <m:mcs>
                                  <m:mc>
                                    <m:mcPr>
                                      <m:count m:val="2"/>
                                      <m:mcJc m:val="center"/>
                                    </m:mcPr>
                                  </m:mc>
                                </m:mcs>
                                <m:ctrlPr>
                                  <w:rPr>
                                    <w:rFonts w:ascii="Cambria Math" w:hAnsi="Cambria Math"/>
                                    <w:i/>
                                    <w:iCs/>
                                    <w:lang w:val="en-US"/>
                                  </w:rPr>
                                </m:ctrlPr>
                              </m:mPr>
                              <m:mr>
                                <m:e>
                                  <m:m>
                                    <m:mPr>
                                      <m:mcs>
                                        <m:mc>
                                          <m:mcPr>
                                            <m:count m:val="2"/>
                                            <m:mcJc m:val="center"/>
                                          </m:mcPr>
                                        </m:mc>
                                      </m:mcs>
                                      <m:ctrlPr>
                                        <w:rPr>
                                          <w:rFonts w:ascii="Cambria Math" w:hAnsi="Cambria Math"/>
                                          <w:i/>
                                          <w:iCs/>
                                          <w:lang w:val="en-US"/>
                                        </w:rPr>
                                      </m:ctrlPr>
                                    </m:mPr>
                                    <m:mr>
                                      <m:e>
                                        <m:r>
                                          <w:rPr>
                                            <w:rFonts w:ascii="Cambria Math" w:hAnsi="Cambria Math"/>
                                          </w:rPr>
                                          <m:t>1</m:t>
                                        </m:r>
                                      </m:e>
                                      <m:e>
                                        <m:sSubSup>
                                          <m:sSubSupPr>
                                            <m:ctrlPr>
                                              <w:rPr>
                                                <w:rFonts w:ascii="Cambria Math" w:hAnsi="Cambria Math"/>
                                                <w:i/>
                                                <w:iCs/>
                                                <w:lang w:val="en-US"/>
                                              </w:rPr>
                                            </m:ctrlPr>
                                          </m:sSubSupPr>
                                          <m:e>
                                            <m:r>
                                              <w:rPr>
                                                <w:rFonts w:ascii="Cambria Math" w:hAnsi="Cambria Math"/>
                                              </w:rPr>
                                              <m:t>a</m:t>
                                            </m:r>
                                          </m:e>
                                          <m:sub>
                                            <m:r>
                                              <w:rPr>
                                                <w:rFonts w:ascii="Cambria Math" w:hAnsi="Cambria Math"/>
                                              </w:rPr>
                                              <m:t>1</m:t>
                                            </m:r>
                                          </m:sub>
                                          <m:sup>
                                            <m:r>
                                              <w:rPr>
                                                <w:rFonts w:ascii="Cambria Math" w:hAnsi="Cambria Math"/>
                                              </w:rPr>
                                              <m:t>'</m:t>
                                            </m:r>
                                          </m:sup>
                                        </m:sSubSup>
                                      </m:e>
                                    </m:mr>
                                  </m:m>
                                </m:e>
                                <m:e>
                                  <m:m>
                                    <m:mPr>
                                      <m:mcs>
                                        <m:mc>
                                          <m:mcPr>
                                            <m:count m:val="2"/>
                                            <m:mcJc m:val="center"/>
                                          </m:mcPr>
                                        </m:mc>
                                      </m:mcs>
                                      <m:ctrlPr>
                                        <w:rPr>
                                          <w:rFonts w:ascii="Cambria Math" w:hAnsi="Cambria Math"/>
                                          <w:i/>
                                          <w:iCs/>
                                          <w:lang w:val="en-US"/>
                                        </w:rPr>
                                      </m:ctrlPr>
                                    </m:mPr>
                                    <m:mr>
                                      <m:e>
                                        <m:r>
                                          <w:rPr>
                                            <w:rFonts w:ascii="Cambria Math" w:hAnsi="Cambria Math"/>
                                          </w:rPr>
                                          <m:t>⋯</m:t>
                                        </m:r>
                                      </m:e>
                                      <m:e>
                                        <m:sSubSup>
                                          <m:sSubSupPr>
                                            <m:ctrlPr>
                                              <w:rPr>
                                                <w:rFonts w:ascii="Cambria Math" w:hAnsi="Cambria Math"/>
                                                <w:i/>
                                                <w:iCs/>
                                                <w:lang w:val="en-US"/>
                                              </w:rPr>
                                            </m:ctrlPr>
                                          </m:sSubSupPr>
                                          <m:e>
                                            <m:r>
                                              <w:rPr>
                                                <w:rFonts w:ascii="Cambria Math" w:hAnsi="Cambria Math"/>
                                              </w:rPr>
                                              <m:t>a</m:t>
                                            </m:r>
                                          </m:e>
                                          <m:sub>
                                            <m:r>
                                              <w:rPr>
                                                <w:rFonts w:ascii="Cambria Math" w:hAnsi="Cambria Math"/>
                                              </w:rPr>
                                              <m:t>L-1</m:t>
                                            </m:r>
                                          </m:sub>
                                          <m:sup>
                                            <m:r>
                                              <w:rPr>
                                                <w:rFonts w:ascii="Cambria Math" w:hAnsi="Cambria Math"/>
                                              </w:rPr>
                                              <m:t>'</m:t>
                                            </m:r>
                                          </m:sup>
                                        </m:sSubSup>
                                      </m:e>
                                    </m:mr>
                                  </m:m>
                                </m:e>
                              </m:mr>
                            </m:m>
                          </m:e>
                        </m:mr>
                      </m:m>
                    </m:e>
                  </m:d>
                </m:e>
                <m:sup>
                  <m:r>
                    <w:rPr>
                      <w:rFonts w:ascii="Cambria Math" w:hAnsi="Cambria Math"/>
                    </w:rPr>
                    <m:t>T</m:t>
                  </m:r>
                </m:sup>
              </m:sSup>
            </m:oMath>
          </w:p>
        </w:tc>
      </w:tr>
      <w:tr w:rsidR="00DF0F9A" w:rsidRPr="00DF0F9A" w14:paraId="46F394CD" w14:textId="77777777" w:rsidTr="00DF0F9A">
        <w:trPr>
          <w:trHeight w:val="584"/>
        </w:trPr>
        <w:tc>
          <w:tcPr>
            <w:tcW w:w="2445" w:type="pct"/>
            <w:hideMark/>
          </w:tcPr>
          <w:p w14:paraId="6C6F9B4E" w14:textId="50162AE0" w:rsidR="00DF0F9A" w:rsidRPr="00DF0F9A" w:rsidRDefault="00DF0F9A" w:rsidP="00DF0F9A">
            <w:pPr>
              <w:spacing w:after="120" w:line="288" w:lineRule="auto"/>
              <w:ind w:right="14"/>
              <w:jc w:val="left"/>
              <w:rPr>
                <w:lang w:val="en-US"/>
              </w:rPr>
            </w:pPr>
            <w:r w:rsidRPr="00DF0F9A">
              <w:rPr>
                <w:rFonts w:hint="eastAsia"/>
                <w:lang w:val="en-US"/>
              </w:rPr>
              <w:lastRenderedPageBreak/>
              <w:t xml:space="preserve">Type 2: </w:t>
            </w:r>
            <m:oMath>
              <m:sSup>
                <m:sSupPr>
                  <m:ctrlPr>
                    <w:rPr>
                      <w:rFonts w:ascii="Cambria Math" w:hAnsi="Cambria Math"/>
                      <w:i/>
                      <w:iCs/>
                      <w:lang w:val="en-US"/>
                    </w:rPr>
                  </m:ctrlPr>
                </m:sSupPr>
                <m:e>
                  <m:d>
                    <m:dPr>
                      <m:begChr m:val="["/>
                      <m:endChr m:val="]"/>
                      <m:ctrlPr>
                        <w:rPr>
                          <w:rFonts w:ascii="Cambria Math" w:hAnsi="Cambria Math"/>
                          <w:i/>
                          <w:iCs/>
                          <w:lang w:val="en-US"/>
                        </w:rPr>
                      </m:ctrlPr>
                    </m:dPr>
                    <m:e>
                      <m:m>
                        <m:mPr>
                          <m:mcs>
                            <m:mc>
                              <m:mcPr>
                                <m:count m:val="2"/>
                                <m:mcJc m:val="center"/>
                              </m:mcPr>
                            </m:mc>
                          </m:mcs>
                          <m:ctrlPr>
                            <w:rPr>
                              <w:rFonts w:ascii="Cambria Math" w:hAnsi="Cambria Math"/>
                              <w:i/>
                              <w:iCs/>
                              <w:lang w:val="en-US"/>
                            </w:rPr>
                          </m:ctrlPr>
                        </m:mPr>
                        <m:mr>
                          <m:e>
                            <m:m>
                              <m:mPr>
                                <m:mcs>
                                  <m:mc>
                                    <m:mcPr>
                                      <m:count m:val="2"/>
                                      <m:mcJc m:val="center"/>
                                    </m:mcPr>
                                  </m:mc>
                                </m:mcs>
                                <m:ctrlPr>
                                  <w:rPr>
                                    <w:rFonts w:ascii="Cambria Math" w:hAnsi="Cambria Math"/>
                                    <w:i/>
                                    <w:iCs/>
                                    <w:lang w:val="en-US"/>
                                  </w:rPr>
                                </m:ctrlPr>
                              </m:mPr>
                              <m:mr>
                                <m:e>
                                  <m:m>
                                    <m:mPr>
                                      <m:mcs>
                                        <m:mc>
                                          <m:mcPr>
                                            <m:count m:val="2"/>
                                            <m:mcJc m:val="center"/>
                                          </m:mcPr>
                                        </m:mc>
                                      </m:mcs>
                                      <m:ctrlPr>
                                        <w:rPr>
                                          <w:rFonts w:ascii="Cambria Math" w:hAnsi="Cambria Math"/>
                                          <w:i/>
                                          <w:iCs/>
                                          <w:lang w:val="en-US"/>
                                        </w:rPr>
                                      </m:ctrlPr>
                                    </m:mPr>
                                    <m:mr>
                                      <m:e>
                                        <m:r>
                                          <w:rPr>
                                            <w:rFonts w:ascii="Cambria Math" w:hAnsi="Cambria Math"/>
                                          </w:rPr>
                                          <m:t>1</m:t>
                                        </m:r>
                                      </m:e>
                                      <m:e>
                                        <m:sSub>
                                          <m:sSubPr>
                                            <m:ctrlPr>
                                              <w:rPr>
                                                <w:rFonts w:ascii="Cambria Math" w:hAnsi="Cambria Math"/>
                                                <w:i/>
                                                <w:iCs/>
                                                <w:lang w:val="en-US"/>
                                              </w:rPr>
                                            </m:ctrlPr>
                                          </m:sSubPr>
                                          <m:e>
                                            <m:r>
                                              <w:rPr>
                                                <w:rFonts w:ascii="Cambria Math" w:hAnsi="Cambria Math"/>
                                              </w:rPr>
                                              <m:t>a</m:t>
                                            </m:r>
                                          </m:e>
                                          <m:sub>
                                            <m:r>
                                              <w:rPr>
                                                <w:rFonts w:ascii="Cambria Math" w:hAnsi="Cambria Math"/>
                                              </w:rPr>
                                              <m:t>1</m:t>
                                            </m:r>
                                          </m:sub>
                                        </m:sSub>
                                      </m:e>
                                    </m:mr>
                                  </m:m>
                                </m:e>
                                <m:e>
                                  <m:m>
                                    <m:mPr>
                                      <m:mcs>
                                        <m:mc>
                                          <m:mcPr>
                                            <m:count m:val="2"/>
                                            <m:mcJc m:val="center"/>
                                          </m:mcPr>
                                        </m:mc>
                                      </m:mcs>
                                      <m:ctrlPr>
                                        <w:rPr>
                                          <w:rFonts w:ascii="Cambria Math" w:hAnsi="Cambria Math"/>
                                          <w:i/>
                                          <w:iCs/>
                                          <w:lang w:val="en-US"/>
                                        </w:rPr>
                                      </m:ctrlPr>
                                    </m:mPr>
                                    <m:mr>
                                      <m:e>
                                        <m:r>
                                          <w:rPr>
                                            <w:rFonts w:ascii="Cambria Math" w:hAnsi="Cambria Math"/>
                                          </w:rPr>
                                          <m:t>⋯</m:t>
                                        </m:r>
                                      </m:e>
                                      <m:e>
                                        <m:sSub>
                                          <m:sSubPr>
                                            <m:ctrlPr>
                                              <w:rPr>
                                                <w:rFonts w:ascii="Cambria Math" w:hAnsi="Cambria Math"/>
                                                <w:i/>
                                                <w:iCs/>
                                                <w:lang w:val="en-US"/>
                                              </w:rPr>
                                            </m:ctrlPr>
                                          </m:sSubPr>
                                          <m:e>
                                            <m:r>
                                              <w:rPr>
                                                <w:rFonts w:ascii="Cambria Math" w:hAnsi="Cambria Math"/>
                                              </w:rPr>
                                              <m:t>a</m:t>
                                            </m:r>
                                          </m:e>
                                          <m:sub>
                                            <m:r>
                                              <w:rPr>
                                                <w:rFonts w:ascii="Cambria Math" w:hAnsi="Cambria Math"/>
                                              </w:rPr>
                                              <m:t>L-1</m:t>
                                            </m:r>
                                          </m:sub>
                                        </m:sSub>
                                      </m:e>
                                    </m:mr>
                                  </m:m>
                                </m:e>
                              </m:mr>
                            </m:m>
                          </m:e>
                          <m:e>
                            <m:m>
                              <m:mPr>
                                <m:mcs>
                                  <m:mc>
                                    <m:mcPr>
                                      <m:count m:val="2"/>
                                      <m:mcJc m:val="center"/>
                                    </m:mcPr>
                                  </m:mc>
                                </m:mcs>
                                <m:ctrlPr>
                                  <w:rPr>
                                    <w:rFonts w:ascii="Cambria Math" w:hAnsi="Cambria Math"/>
                                    <w:i/>
                                    <w:iCs/>
                                    <w:lang w:val="en-US"/>
                                  </w:rPr>
                                </m:ctrlPr>
                              </m:mPr>
                              <m:mr>
                                <m:e>
                                  <m:m>
                                    <m:mPr>
                                      <m:mcs>
                                        <m:mc>
                                          <m:mcPr>
                                            <m:count m:val="2"/>
                                            <m:mcJc m:val="center"/>
                                          </m:mcPr>
                                        </m:mc>
                                      </m:mcs>
                                      <m:ctrlPr>
                                        <w:rPr>
                                          <w:rFonts w:ascii="Cambria Math" w:hAnsi="Cambria Math"/>
                                          <w:i/>
                                          <w:iCs/>
                                          <w:lang w:val="en-US"/>
                                        </w:rPr>
                                      </m:ctrlPr>
                                    </m:mPr>
                                    <m:mr>
                                      <m:e>
                                        <m:sSub>
                                          <m:sSubPr>
                                            <m:ctrlPr>
                                              <w:rPr>
                                                <w:rFonts w:ascii="Cambria Math" w:hAnsi="Cambria Math"/>
                                                <w:i/>
                                                <w:iCs/>
                                                <w:lang w:val="en-US"/>
                                              </w:rPr>
                                            </m:ctrlPr>
                                          </m:sSubPr>
                                          <m:e>
                                            <m:r>
                                              <w:rPr>
                                                <w:rFonts w:ascii="Cambria Math" w:hAnsi="Cambria Math"/>
                                              </w:rPr>
                                              <m:t>a</m:t>
                                            </m:r>
                                          </m:e>
                                          <m:sub>
                                            <m:r>
                                              <w:rPr>
                                                <w:rFonts w:ascii="Cambria Math" w:hAnsi="Cambria Math"/>
                                              </w:rPr>
                                              <m:t>L</m:t>
                                            </m:r>
                                          </m:sub>
                                        </m:sSub>
                                      </m:e>
                                      <m:e>
                                        <m:sSub>
                                          <m:sSubPr>
                                            <m:ctrlPr>
                                              <w:rPr>
                                                <w:rFonts w:ascii="Cambria Math" w:hAnsi="Cambria Math"/>
                                                <w:i/>
                                                <w:iCs/>
                                                <w:lang w:val="en-US"/>
                                              </w:rPr>
                                            </m:ctrlPr>
                                          </m:sSubPr>
                                          <m:e>
                                            <m:r>
                                              <w:rPr>
                                                <w:rFonts w:ascii="Cambria Math" w:hAnsi="Cambria Math"/>
                                              </w:rPr>
                                              <m:t>a</m:t>
                                            </m:r>
                                          </m:e>
                                          <m:sub>
                                            <m:r>
                                              <w:rPr>
                                                <w:rFonts w:ascii="Cambria Math" w:hAnsi="Cambria Math"/>
                                              </w:rPr>
                                              <m:t>L+1</m:t>
                                            </m:r>
                                          </m:sub>
                                        </m:sSub>
                                      </m:e>
                                    </m:mr>
                                  </m:m>
                                </m:e>
                                <m:e>
                                  <m:m>
                                    <m:mPr>
                                      <m:mcs>
                                        <m:mc>
                                          <m:mcPr>
                                            <m:count m:val="2"/>
                                            <m:mcJc m:val="center"/>
                                          </m:mcPr>
                                        </m:mc>
                                      </m:mcs>
                                      <m:ctrlPr>
                                        <w:rPr>
                                          <w:rFonts w:ascii="Cambria Math" w:hAnsi="Cambria Math"/>
                                          <w:i/>
                                          <w:iCs/>
                                          <w:lang w:val="en-US"/>
                                        </w:rPr>
                                      </m:ctrlPr>
                                    </m:mPr>
                                    <m:mr>
                                      <m:e>
                                        <m:r>
                                          <w:rPr>
                                            <w:rFonts w:ascii="Cambria Math" w:hAnsi="Cambria Math"/>
                                          </w:rPr>
                                          <m:t>⋯</m:t>
                                        </m:r>
                                      </m:e>
                                      <m:e>
                                        <m:sSub>
                                          <m:sSubPr>
                                            <m:ctrlPr>
                                              <w:rPr>
                                                <w:rFonts w:ascii="Cambria Math" w:hAnsi="Cambria Math"/>
                                                <w:i/>
                                                <w:iCs/>
                                                <w:lang w:val="en-US"/>
                                              </w:rPr>
                                            </m:ctrlPr>
                                          </m:sSubPr>
                                          <m:e>
                                            <m:r>
                                              <w:rPr>
                                                <w:rFonts w:ascii="Cambria Math" w:hAnsi="Cambria Math"/>
                                              </w:rPr>
                                              <m:t>a</m:t>
                                            </m:r>
                                          </m:e>
                                          <m:sub>
                                            <m:r>
                                              <w:rPr>
                                                <w:rFonts w:ascii="Cambria Math" w:hAnsi="Cambria Math"/>
                                              </w:rPr>
                                              <m:t>2L-1</m:t>
                                            </m:r>
                                          </m:sub>
                                        </m:sSub>
                                      </m:e>
                                    </m:mr>
                                  </m:m>
                                </m:e>
                              </m:mr>
                            </m:m>
                          </m:e>
                        </m:mr>
                        <m:mr>
                          <m:e>
                            <m:m>
                              <m:mPr>
                                <m:mcs>
                                  <m:mc>
                                    <m:mcPr>
                                      <m:count m:val="2"/>
                                      <m:mcJc m:val="center"/>
                                    </m:mcPr>
                                  </m:mc>
                                </m:mcs>
                                <m:ctrlPr>
                                  <w:rPr>
                                    <w:rFonts w:ascii="Cambria Math" w:hAnsi="Cambria Math"/>
                                    <w:i/>
                                    <w:iCs/>
                                    <w:lang w:val="en-US"/>
                                  </w:rPr>
                                </m:ctrlPr>
                              </m:mPr>
                              <m:mr>
                                <m:e>
                                  <m:m>
                                    <m:mPr>
                                      <m:mcs>
                                        <m:mc>
                                          <m:mcPr>
                                            <m:count m:val="2"/>
                                            <m:mcJc m:val="center"/>
                                          </m:mcPr>
                                        </m:mc>
                                      </m:mcs>
                                      <m:ctrlPr>
                                        <w:rPr>
                                          <w:rFonts w:ascii="Cambria Math" w:hAnsi="Cambria Math"/>
                                          <w:i/>
                                          <w:iCs/>
                                          <w:lang w:val="en-US"/>
                                        </w:rPr>
                                      </m:ctrlPr>
                                    </m:mPr>
                                    <m:mr>
                                      <m:e>
                                        <m:r>
                                          <w:rPr>
                                            <w:rFonts w:ascii="Cambria Math" w:hAnsi="Cambria Math"/>
                                          </w:rPr>
                                          <m:t>1</m:t>
                                        </m:r>
                                      </m:e>
                                      <m:e>
                                        <m:sSub>
                                          <m:sSubPr>
                                            <m:ctrlPr>
                                              <w:rPr>
                                                <w:rFonts w:ascii="Cambria Math" w:hAnsi="Cambria Math"/>
                                                <w:i/>
                                                <w:iCs/>
                                                <w:lang w:val="en-US"/>
                                              </w:rPr>
                                            </m:ctrlPr>
                                          </m:sSubPr>
                                          <m:e>
                                            <m:r>
                                              <w:rPr>
                                                <w:rFonts w:ascii="Cambria Math" w:hAnsi="Cambria Math"/>
                                              </w:rPr>
                                              <m:t>a</m:t>
                                            </m:r>
                                          </m:e>
                                          <m:sub>
                                            <m:r>
                                              <w:rPr>
                                                <w:rFonts w:ascii="Cambria Math" w:hAnsi="Cambria Math"/>
                                              </w:rPr>
                                              <m:t>1</m:t>
                                            </m:r>
                                          </m:sub>
                                        </m:sSub>
                                      </m:e>
                                    </m:mr>
                                  </m:m>
                                </m:e>
                                <m:e>
                                  <m:m>
                                    <m:mPr>
                                      <m:mcs>
                                        <m:mc>
                                          <m:mcPr>
                                            <m:count m:val="2"/>
                                            <m:mcJc m:val="center"/>
                                          </m:mcPr>
                                        </m:mc>
                                      </m:mcs>
                                      <m:ctrlPr>
                                        <w:rPr>
                                          <w:rFonts w:ascii="Cambria Math" w:hAnsi="Cambria Math"/>
                                          <w:i/>
                                          <w:iCs/>
                                          <w:lang w:val="en-US"/>
                                        </w:rPr>
                                      </m:ctrlPr>
                                    </m:mPr>
                                    <m:mr>
                                      <m:e>
                                        <m:r>
                                          <w:rPr>
                                            <w:rFonts w:ascii="Cambria Math" w:hAnsi="Cambria Math"/>
                                          </w:rPr>
                                          <m:t>⋯</m:t>
                                        </m:r>
                                      </m:e>
                                      <m:e>
                                        <m:sSub>
                                          <m:sSubPr>
                                            <m:ctrlPr>
                                              <w:rPr>
                                                <w:rFonts w:ascii="Cambria Math" w:hAnsi="Cambria Math"/>
                                                <w:i/>
                                                <w:iCs/>
                                                <w:lang w:val="en-US"/>
                                              </w:rPr>
                                            </m:ctrlPr>
                                          </m:sSubPr>
                                          <m:e>
                                            <m:r>
                                              <w:rPr>
                                                <w:rFonts w:ascii="Cambria Math" w:hAnsi="Cambria Math"/>
                                              </w:rPr>
                                              <m:t>a</m:t>
                                            </m:r>
                                          </m:e>
                                          <m:sub>
                                            <m:r>
                                              <w:rPr>
                                                <w:rFonts w:ascii="Cambria Math" w:hAnsi="Cambria Math"/>
                                              </w:rPr>
                                              <m:t>L-1</m:t>
                                            </m:r>
                                          </m:sub>
                                        </m:sSub>
                                      </m:e>
                                    </m:mr>
                                  </m:m>
                                </m:e>
                              </m:mr>
                            </m:m>
                          </m:e>
                          <m:e>
                            <m:m>
                              <m:mPr>
                                <m:mcs>
                                  <m:mc>
                                    <m:mcPr>
                                      <m:count m:val="2"/>
                                      <m:mcJc m:val="center"/>
                                    </m:mcPr>
                                  </m:mc>
                                </m:mcs>
                                <m:ctrlPr>
                                  <w:rPr>
                                    <w:rFonts w:ascii="Cambria Math" w:hAnsi="Cambria Math"/>
                                    <w:i/>
                                    <w:iCs/>
                                    <w:lang w:val="en-US"/>
                                  </w:rPr>
                                </m:ctrlPr>
                              </m:mPr>
                              <m:mr>
                                <m:e>
                                  <m:m>
                                    <m:mPr>
                                      <m:mcs>
                                        <m:mc>
                                          <m:mcPr>
                                            <m:count m:val="2"/>
                                            <m:mcJc m:val="center"/>
                                          </m:mcPr>
                                        </m:mc>
                                      </m:mcs>
                                      <m:ctrlPr>
                                        <w:rPr>
                                          <w:rFonts w:ascii="Cambria Math" w:hAnsi="Cambria Math"/>
                                          <w:i/>
                                          <w:iCs/>
                                          <w:lang w:val="en-US"/>
                                        </w:rPr>
                                      </m:ctrlPr>
                                    </m:mPr>
                                    <m:mr>
                                      <m:e>
                                        <m:sSub>
                                          <m:sSubPr>
                                            <m:ctrlPr>
                                              <w:rPr>
                                                <w:rFonts w:ascii="Cambria Math" w:hAnsi="Cambria Math"/>
                                                <w:i/>
                                                <w:iCs/>
                                                <w:lang w:val="en-US"/>
                                              </w:rPr>
                                            </m:ctrlPr>
                                          </m:sSubPr>
                                          <m:e>
                                            <m:r>
                                              <w:rPr>
                                                <w:rFonts w:ascii="Cambria Math" w:hAnsi="Cambria Math"/>
                                              </w:rPr>
                                              <m:t>a</m:t>
                                            </m:r>
                                          </m:e>
                                          <m:sub>
                                            <m:r>
                                              <w:rPr>
                                                <w:rFonts w:ascii="Cambria Math" w:hAnsi="Cambria Math"/>
                                              </w:rPr>
                                              <m:t>L</m:t>
                                            </m:r>
                                          </m:sub>
                                        </m:sSub>
                                      </m:e>
                                      <m:e>
                                        <m:sSub>
                                          <m:sSubPr>
                                            <m:ctrlPr>
                                              <w:rPr>
                                                <w:rFonts w:ascii="Cambria Math" w:hAnsi="Cambria Math"/>
                                                <w:i/>
                                                <w:iCs/>
                                                <w:lang w:val="en-US"/>
                                              </w:rPr>
                                            </m:ctrlPr>
                                          </m:sSubPr>
                                          <m:e>
                                            <m:r>
                                              <w:rPr>
                                                <w:rFonts w:ascii="Cambria Math" w:hAnsi="Cambria Math"/>
                                              </w:rPr>
                                              <m:t>a</m:t>
                                            </m:r>
                                          </m:e>
                                          <m:sub>
                                            <m:r>
                                              <w:rPr>
                                                <w:rFonts w:ascii="Cambria Math" w:hAnsi="Cambria Math"/>
                                              </w:rPr>
                                              <m:t>L+1</m:t>
                                            </m:r>
                                          </m:sub>
                                        </m:sSub>
                                      </m:e>
                                    </m:mr>
                                  </m:m>
                                </m:e>
                                <m:e>
                                  <m:m>
                                    <m:mPr>
                                      <m:mcs>
                                        <m:mc>
                                          <m:mcPr>
                                            <m:count m:val="2"/>
                                            <m:mcJc m:val="center"/>
                                          </m:mcPr>
                                        </m:mc>
                                      </m:mcs>
                                      <m:ctrlPr>
                                        <w:rPr>
                                          <w:rFonts w:ascii="Cambria Math" w:hAnsi="Cambria Math"/>
                                          <w:i/>
                                          <w:iCs/>
                                          <w:lang w:val="en-US"/>
                                        </w:rPr>
                                      </m:ctrlPr>
                                    </m:mPr>
                                    <m:mr>
                                      <m:e>
                                        <m:r>
                                          <w:rPr>
                                            <w:rFonts w:ascii="Cambria Math" w:hAnsi="Cambria Math"/>
                                          </w:rPr>
                                          <m:t>⋯</m:t>
                                        </m:r>
                                      </m:e>
                                      <m:e>
                                        <m:sSub>
                                          <m:sSubPr>
                                            <m:ctrlPr>
                                              <w:rPr>
                                                <w:rFonts w:ascii="Cambria Math" w:hAnsi="Cambria Math"/>
                                                <w:i/>
                                                <w:iCs/>
                                                <w:lang w:val="en-US"/>
                                              </w:rPr>
                                            </m:ctrlPr>
                                          </m:sSubPr>
                                          <m:e>
                                            <m:r>
                                              <w:rPr>
                                                <w:rFonts w:ascii="Cambria Math" w:hAnsi="Cambria Math"/>
                                              </w:rPr>
                                              <m:t>a</m:t>
                                            </m:r>
                                          </m:e>
                                          <m:sub>
                                            <m:r>
                                              <w:rPr>
                                                <w:rFonts w:ascii="Cambria Math" w:hAnsi="Cambria Math"/>
                                              </w:rPr>
                                              <m:t>2L-1</m:t>
                                            </m:r>
                                          </m:sub>
                                        </m:sSub>
                                      </m:e>
                                    </m:mr>
                                  </m:m>
                                </m:e>
                              </m:mr>
                            </m:m>
                          </m:e>
                        </m:mr>
                      </m:m>
                    </m:e>
                  </m:d>
                </m:e>
                <m:sup>
                  <m:r>
                    <w:rPr>
                      <w:rFonts w:ascii="Cambria Math" w:hAnsi="Cambria Math"/>
                    </w:rPr>
                    <m:t>T</m:t>
                  </m:r>
                </m:sup>
              </m:sSup>
            </m:oMath>
          </w:p>
        </w:tc>
        <w:tc>
          <w:tcPr>
            <w:tcW w:w="2555" w:type="pct"/>
            <w:hideMark/>
          </w:tcPr>
          <w:p w14:paraId="10A5E29F" w14:textId="62C1572F" w:rsidR="00DF0F9A" w:rsidRPr="00DF0F9A" w:rsidRDefault="00DF0F9A" w:rsidP="00DF0F9A">
            <w:pPr>
              <w:spacing w:after="120" w:line="288" w:lineRule="auto"/>
              <w:ind w:right="14"/>
              <w:jc w:val="left"/>
              <w:rPr>
                <w:lang w:val="en-US"/>
              </w:rPr>
            </w:pPr>
            <w:r w:rsidRPr="00DF0F9A">
              <w:rPr>
                <w:rFonts w:hint="eastAsia"/>
                <w:lang w:val="en-US"/>
              </w:rPr>
              <w:t xml:space="preserve">Type 3: </w:t>
            </w:r>
            <m:oMath>
              <m:sSup>
                <m:sSupPr>
                  <m:ctrlPr>
                    <w:rPr>
                      <w:rFonts w:ascii="Cambria Math" w:hAnsi="Cambria Math"/>
                      <w:i/>
                      <w:iCs/>
                      <w:lang w:val="en-US"/>
                    </w:rPr>
                  </m:ctrlPr>
                </m:sSupPr>
                <m:e>
                  <m:d>
                    <m:dPr>
                      <m:begChr m:val="["/>
                      <m:endChr m:val="]"/>
                      <m:ctrlPr>
                        <w:rPr>
                          <w:rFonts w:ascii="Cambria Math" w:hAnsi="Cambria Math"/>
                          <w:i/>
                          <w:iCs/>
                          <w:lang w:val="en-US"/>
                        </w:rPr>
                      </m:ctrlPr>
                    </m:dPr>
                    <m:e>
                      <m:m>
                        <m:mPr>
                          <m:mcs>
                            <m:mc>
                              <m:mcPr>
                                <m:count m:val="2"/>
                                <m:mcJc m:val="center"/>
                              </m:mcPr>
                            </m:mc>
                          </m:mcs>
                          <m:ctrlPr>
                            <w:rPr>
                              <w:rFonts w:ascii="Cambria Math" w:hAnsi="Cambria Math"/>
                              <w:i/>
                              <w:iCs/>
                              <w:lang w:val="en-US"/>
                            </w:rPr>
                          </m:ctrlPr>
                        </m:mPr>
                        <m:mr>
                          <m:e>
                            <m:m>
                              <m:mPr>
                                <m:mcs>
                                  <m:mc>
                                    <m:mcPr>
                                      <m:count m:val="2"/>
                                      <m:mcJc m:val="center"/>
                                    </m:mcPr>
                                  </m:mc>
                                </m:mcs>
                                <m:ctrlPr>
                                  <w:rPr>
                                    <w:rFonts w:ascii="Cambria Math" w:hAnsi="Cambria Math"/>
                                    <w:i/>
                                    <w:iCs/>
                                    <w:lang w:val="en-US"/>
                                  </w:rPr>
                                </m:ctrlPr>
                              </m:mPr>
                              <m:mr>
                                <m:e>
                                  <m:m>
                                    <m:mPr>
                                      <m:mcs>
                                        <m:mc>
                                          <m:mcPr>
                                            <m:count m:val="2"/>
                                            <m:mcJc m:val="center"/>
                                          </m:mcPr>
                                        </m:mc>
                                      </m:mcs>
                                      <m:ctrlPr>
                                        <w:rPr>
                                          <w:rFonts w:ascii="Cambria Math" w:hAnsi="Cambria Math"/>
                                          <w:i/>
                                          <w:iCs/>
                                          <w:lang w:val="en-US"/>
                                        </w:rPr>
                                      </m:ctrlPr>
                                    </m:mPr>
                                    <m:mr>
                                      <m:e>
                                        <m:r>
                                          <w:rPr>
                                            <w:rFonts w:ascii="Cambria Math" w:hAnsi="Cambria Math"/>
                                          </w:rPr>
                                          <m:t>1</m:t>
                                        </m:r>
                                      </m:e>
                                      <m:e>
                                        <m:sSub>
                                          <m:sSubPr>
                                            <m:ctrlPr>
                                              <w:rPr>
                                                <w:rFonts w:ascii="Cambria Math" w:hAnsi="Cambria Math"/>
                                                <w:i/>
                                                <w:iCs/>
                                                <w:lang w:val="en-US"/>
                                              </w:rPr>
                                            </m:ctrlPr>
                                          </m:sSubPr>
                                          <m:e>
                                            <m:r>
                                              <w:rPr>
                                                <w:rFonts w:ascii="Cambria Math" w:hAnsi="Cambria Math"/>
                                              </w:rPr>
                                              <m:t>a</m:t>
                                            </m:r>
                                          </m:e>
                                          <m:sub>
                                            <m:r>
                                              <w:rPr>
                                                <w:rFonts w:ascii="Cambria Math" w:hAnsi="Cambria Math"/>
                                              </w:rPr>
                                              <m:t>1</m:t>
                                            </m:r>
                                          </m:sub>
                                        </m:sSub>
                                      </m:e>
                                    </m:mr>
                                  </m:m>
                                </m:e>
                                <m:e>
                                  <m:m>
                                    <m:mPr>
                                      <m:mcs>
                                        <m:mc>
                                          <m:mcPr>
                                            <m:count m:val="2"/>
                                            <m:mcJc m:val="center"/>
                                          </m:mcPr>
                                        </m:mc>
                                      </m:mcs>
                                      <m:ctrlPr>
                                        <w:rPr>
                                          <w:rFonts w:ascii="Cambria Math" w:hAnsi="Cambria Math"/>
                                          <w:i/>
                                          <w:iCs/>
                                          <w:lang w:val="en-US"/>
                                        </w:rPr>
                                      </m:ctrlPr>
                                    </m:mPr>
                                    <m:mr>
                                      <m:e>
                                        <m:r>
                                          <w:rPr>
                                            <w:rFonts w:ascii="Cambria Math" w:hAnsi="Cambria Math"/>
                                          </w:rPr>
                                          <m:t>⋯</m:t>
                                        </m:r>
                                      </m:e>
                                      <m:e>
                                        <m:sSub>
                                          <m:sSubPr>
                                            <m:ctrlPr>
                                              <w:rPr>
                                                <w:rFonts w:ascii="Cambria Math" w:hAnsi="Cambria Math"/>
                                                <w:i/>
                                                <w:iCs/>
                                                <w:lang w:val="en-US"/>
                                              </w:rPr>
                                            </m:ctrlPr>
                                          </m:sSubPr>
                                          <m:e>
                                            <m:r>
                                              <w:rPr>
                                                <w:rFonts w:ascii="Cambria Math" w:hAnsi="Cambria Math"/>
                                              </w:rPr>
                                              <m:t>a</m:t>
                                            </m:r>
                                          </m:e>
                                          <m:sub>
                                            <m:r>
                                              <w:rPr>
                                                <w:rFonts w:ascii="Cambria Math" w:hAnsi="Cambria Math"/>
                                              </w:rPr>
                                              <m:t>L-1</m:t>
                                            </m:r>
                                          </m:sub>
                                        </m:sSub>
                                      </m:e>
                                    </m:mr>
                                  </m:m>
                                </m:e>
                              </m:mr>
                            </m:m>
                          </m:e>
                          <m:e>
                            <m:m>
                              <m:mPr>
                                <m:mcs>
                                  <m:mc>
                                    <m:mcPr>
                                      <m:count m:val="2"/>
                                      <m:mcJc m:val="center"/>
                                    </m:mcPr>
                                  </m:mc>
                                </m:mcs>
                                <m:ctrlPr>
                                  <w:rPr>
                                    <w:rFonts w:ascii="Cambria Math" w:hAnsi="Cambria Math"/>
                                    <w:i/>
                                    <w:iCs/>
                                    <w:lang w:val="en-US"/>
                                  </w:rPr>
                                </m:ctrlPr>
                              </m:mPr>
                              <m:mr>
                                <m:e>
                                  <m:m>
                                    <m:mPr>
                                      <m:mcs>
                                        <m:mc>
                                          <m:mcPr>
                                            <m:count m:val="2"/>
                                            <m:mcJc m:val="center"/>
                                          </m:mcPr>
                                        </m:mc>
                                      </m:mcs>
                                      <m:ctrlPr>
                                        <w:rPr>
                                          <w:rFonts w:ascii="Cambria Math" w:hAnsi="Cambria Math"/>
                                          <w:i/>
                                          <w:iCs/>
                                          <w:lang w:val="en-US"/>
                                        </w:rPr>
                                      </m:ctrlPr>
                                    </m:mPr>
                                    <m:mr>
                                      <m:e>
                                        <m:sSub>
                                          <m:sSubPr>
                                            <m:ctrlPr>
                                              <w:rPr>
                                                <w:rFonts w:ascii="Cambria Math" w:hAnsi="Cambria Math"/>
                                                <w:i/>
                                                <w:iCs/>
                                                <w:lang w:val="en-US"/>
                                              </w:rPr>
                                            </m:ctrlPr>
                                          </m:sSubPr>
                                          <m:e>
                                            <m:r>
                                              <w:rPr>
                                                <w:rFonts w:ascii="Cambria Math" w:hAnsi="Cambria Math"/>
                                              </w:rPr>
                                              <m:t>a</m:t>
                                            </m:r>
                                          </m:e>
                                          <m:sub>
                                            <m:r>
                                              <w:rPr>
                                                <w:rFonts w:ascii="Cambria Math" w:hAnsi="Cambria Math"/>
                                              </w:rPr>
                                              <m:t>L</m:t>
                                            </m:r>
                                          </m:sub>
                                        </m:sSub>
                                      </m:e>
                                      <m:e>
                                        <m:sSub>
                                          <m:sSubPr>
                                            <m:ctrlPr>
                                              <w:rPr>
                                                <w:rFonts w:ascii="Cambria Math" w:hAnsi="Cambria Math"/>
                                                <w:i/>
                                                <w:iCs/>
                                                <w:lang w:val="en-US"/>
                                              </w:rPr>
                                            </m:ctrlPr>
                                          </m:sSubPr>
                                          <m:e>
                                            <m:r>
                                              <w:rPr>
                                                <w:rFonts w:ascii="Cambria Math" w:hAnsi="Cambria Math"/>
                                              </w:rPr>
                                              <m:t>a</m:t>
                                            </m:r>
                                          </m:e>
                                          <m:sub>
                                            <m:r>
                                              <w:rPr>
                                                <w:rFonts w:ascii="Cambria Math" w:hAnsi="Cambria Math"/>
                                              </w:rPr>
                                              <m:t>L+1</m:t>
                                            </m:r>
                                          </m:sub>
                                        </m:sSub>
                                      </m:e>
                                    </m:mr>
                                  </m:m>
                                </m:e>
                                <m:e>
                                  <m:m>
                                    <m:mPr>
                                      <m:mcs>
                                        <m:mc>
                                          <m:mcPr>
                                            <m:count m:val="2"/>
                                            <m:mcJc m:val="center"/>
                                          </m:mcPr>
                                        </m:mc>
                                      </m:mcs>
                                      <m:ctrlPr>
                                        <w:rPr>
                                          <w:rFonts w:ascii="Cambria Math" w:hAnsi="Cambria Math"/>
                                          <w:i/>
                                          <w:iCs/>
                                          <w:lang w:val="en-US"/>
                                        </w:rPr>
                                      </m:ctrlPr>
                                    </m:mPr>
                                    <m:mr>
                                      <m:e>
                                        <m:r>
                                          <w:rPr>
                                            <w:rFonts w:ascii="Cambria Math" w:hAnsi="Cambria Math"/>
                                          </w:rPr>
                                          <m:t>⋯</m:t>
                                        </m:r>
                                      </m:e>
                                      <m:e>
                                        <m:sSub>
                                          <m:sSubPr>
                                            <m:ctrlPr>
                                              <w:rPr>
                                                <w:rFonts w:ascii="Cambria Math" w:hAnsi="Cambria Math"/>
                                                <w:i/>
                                                <w:iCs/>
                                                <w:lang w:val="en-US"/>
                                              </w:rPr>
                                            </m:ctrlPr>
                                          </m:sSubPr>
                                          <m:e>
                                            <m:r>
                                              <w:rPr>
                                                <w:rFonts w:ascii="Cambria Math" w:hAnsi="Cambria Math"/>
                                              </w:rPr>
                                              <m:t>a</m:t>
                                            </m:r>
                                          </m:e>
                                          <m:sub>
                                            <m:r>
                                              <w:rPr>
                                                <w:rFonts w:ascii="Cambria Math" w:hAnsi="Cambria Math"/>
                                              </w:rPr>
                                              <m:t>2L-1</m:t>
                                            </m:r>
                                          </m:sub>
                                        </m:sSub>
                                      </m:e>
                                    </m:mr>
                                  </m:m>
                                </m:e>
                              </m:mr>
                            </m:m>
                          </m:e>
                        </m:mr>
                        <m:mr>
                          <m:e>
                            <m:m>
                              <m:mPr>
                                <m:mcs>
                                  <m:mc>
                                    <m:mcPr>
                                      <m:count m:val="2"/>
                                      <m:mcJc m:val="center"/>
                                    </m:mcPr>
                                  </m:mc>
                                </m:mcs>
                                <m:ctrlPr>
                                  <w:rPr>
                                    <w:rFonts w:ascii="Cambria Math" w:hAnsi="Cambria Math"/>
                                    <w:i/>
                                    <w:iCs/>
                                    <w:lang w:val="en-US"/>
                                  </w:rPr>
                                </m:ctrlPr>
                              </m:mPr>
                              <m:mr>
                                <m:e>
                                  <m:m>
                                    <m:mPr>
                                      <m:mcs>
                                        <m:mc>
                                          <m:mcPr>
                                            <m:count m:val="2"/>
                                            <m:mcJc m:val="center"/>
                                          </m:mcPr>
                                        </m:mc>
                                      </m:mcs>
                                      <m:ctrlPr>
                                        <w:rPr>
                                          <w:rFonts w:ascii="Cambria Math" w:hAnsi="Cambria Math"/>
                                          <w:i/>
                                          <w:iCs/>
                                          <w:lang w:val="en-US"/>
                                        </w:rPr>
                                      </m:ctrlPr>
                                    </m:mPr>
                                    <m:mr>
                                      <m:e>
                                        <m:r>
                                          <w:rPr>
                                            <w:rFonts w:ascii="Cambria Math" w:hAnsi="Cambria Math"/>
                                          </w:rPr>
                                          <m:t>1</m:t>
                                        </m:r>
                                      </m:e>
                                      <m:e>
                                        <m:sSubSup>
                                          <m:sSubSupPr>
                                            <m:ctrlPr>
                                              <w:rPr>
                                                <w:rFonts w:ascii="Cambria Math" w:hAnsi="Cambria Math"/>
                                                <w:i/>
                                                <w:iCs/>
                                                <w:lang w:val="en-US"/>
                                              </w:rPr>
                                            </m:ctrlPr>
                                          </m:sSubSupPr>
                                          <m:e>
                                            <m:r>
                                              <w:rPr>
                                                <w:rFonts w:ascii="Cambria Math" w:hAnsi="Cambria Math"/>
                                              </w:rPr>
                                              <m:t>a</m:t>
                                            </m:r>
                                          </m:e>
                                          <m:sub>
                                            <m:r>
                                              <w:rPr>
                                                <w:rFonts w:ascii="Cambria Math" w:hAnsi="Cambria Math"/>
                                              </w:rPr>
                                              <m:t>1</m:t>
                                            </m:r>
                                          </m:sub>
                                          <m:sup>
                                            <m:r>
                                              <w:rPr>
                                                <w:rFonts w:ascii="Cambria Math" w:hAnsi="Cambria Math"/>
                                              </w:rPr>
                                              <m:t>'</m:t>
                                            </m:r>
                                          </m:sup>
                                        </m:sSubSup>
                                      </m:e>
                                    </m:mr>
                                  </m:m>
                                </m:e>
                                <m:e>
                                  <m:m>
                                    <m:mPr>
                                      <m:mcs>
                                        <m:mc>
                                          <m:mcPr>
                                            <m:count m:val="2"/>
                                            <m:mcJc m:val="center"/>
                                          </m:mcPr>
                                        </m:mc>
                                      </m:mcs>
                                      <m:ctrlPr>
                                        <w:rPr>
                                          <w:rFonts w:ascii="Cambria Math" w:hAnsi="Cambria Math"/>
                                          <w:i/>
                                          <w:iCs/>
                                          <w:lang w:val="en-US"/>
                                        </w:rPr>
                                      </m:ctrlPr>
                                    </m:mPr>
                                    <m:mr>
                                      <m:e>
                                        <m:r>
                                          <w:rPr>
                                            <w:rFonts w:ascii="Cambria Math" w:hAnsi="Cambria Math"/>
                                          </w:rPr>
                                          <m:t>⋯</m:t>
                                        </m:r>
                                      </m:e>
                                      <m:e>
                                        <m:sSubSup>
                                          <m:sSubSupPr>
                                            <m:ctrlPr>
                                              <w:rPr>
                                                <w:rFonts w:ascii="Cambria Math" w:hAnsi="Cambria Math"/>
                                                <w:i/>
                                                <w:iCs/>
                                                <w:lang w:val="en-US"/>
                                              </w:rPr>
                                            </m:ctrlPr>
                                          </m:sSubSupPr>
                                          <m:e>
                                            <m:r>
                                              <w:rPr>
                                                <w:rFonts w:ascii="Cambria Math" w:hAnsi="Cambria Math"/>
                                              </w:rPr>
                                              <m:t>a</m:t>
                                            </m:r>
                                          </m:e>
                                          <m:sub>
                                            <m:r>
                                              <w:rPr>
                                                <w:rFonts w:ascii="Cambria Math" w:hAnsi="Cambria Math"/>
                                              </w:rPr>
                                              <m:t>L-1</m:t>
                                            </m:r>
                                          </m:sub>
                                          <m:sup>
                                            <m:r>
                                              <w:rPr>
                                                <w:rFonts w:ascii="Cambria Math" w:hAnsi="Cambria Math"/>
                                              </w:rPr>
                                              <m:t>'</m:t>
                                            </m:r>
                                          </m:sup>
                                        </m:sSubSup>
                                      </m:e>
                                    </m:mr>
                                  </m:m>
                                </m:e>
                              </m:mr>
                            </m:m>
                          </m:e>
                          <m:e>
                            <m:m>
                              <m:mPr>
                                <m:mcs>
                                  <m:mc>
                                    <m:mcPr>
                                      <m:count m:val="2"/>
                                      <m:mcJc m:val="center"/>
                                    </m:mcPr>
                                  </m:mc>
                                </m:mcs>
                                <m:ctrlPr>
                                  <w:rPr>
                                    <w:rFonts w:ascii="Cambria Math" w:hAnsi="Cambria Math"/>
                                    <w:i/>
                                    <w:iCs/>
                                    <w:lang w:val="en-US"/>
                                  </w:rPr>
                                </m:ctrlPr>
                              </m:mPr>
                              <m:mr>
                                <m:e>
                                  <m:m>
                                    <m:mPr>
                                      <m:mcs>
                                        <m:mc>
                                          <m:mcPr>
                                            <m:count m:val="2"/>
                                            <m:mcJc m:val="center"/>
                                          </m:mcPr>
                                        </m:mc>
                                      </m:mcs>
                                      <m:ctrlPr>
                                        <w:rPr>
                                          <w:rFonts w:ascii="Cambria Math" w:hAnsi="Cambria Math"/>
                                          <w:i/>
                                          <w:iCs/>
                                          <w:lang w:val="en-US"/>
                                        </w:rPr>
                                      </m:ctrlPr>
                                    </m:mPr>
                                    <m:mr>
                                      <m:e>
                                        <m:sSubSup>
                                          <m:sSubSupPr>
                                            <m:ctrlPr>
                                              <w:rPr>
                                                <w:rFonts w:ascii="Cambria Math" w:hAnsi="Cambria Math"/>
                                                <w:i/>
                                                <w:iCs/>
                                                <w:lang w:val="en-US"/>
                                              </w:rPr>
                                            </m:ctrlPr>
                                          </m:sSubSupPr>
                                          <m:e>
                                            <m:r>
                                              <w:rPr>
                                                <w:rFonts w:ascii="Cambria Math" w:hAnsi="Cambria Math"/>
                                              </w:rPr>
                                              <m:t>a</m:t>
                                            </m:r>
                                          </m:e>
                                          <m:sub>
                                            <m:r>
                                              <w:rPr>
                                                <w:rFonts w:ascii="Cambria Math" w:hAnsi="Cambria Math"/>
                                              </w:rPr>
                                              <m:t>L</m:t>
                                            </m:r>
                                          </m:sub>
                                          <m:sup>
                                            <m:r>
                                              <w:rPr>
                                                <w:rFonts w:ascii="Cambria Math" w:hAnsi="Cambria Math"/>
                                              </w:rPr>
                                              <m:t>'</m:t>
                                            </m:r>
                                          </m:sup>
                                        </m:sSubSup>
                                      </m:e>
                                      <m:e>
                                        <m:sSubSup>
                                          <m:sSubSupPr>
                                            <m:ctrlPr>
                                              <w:rPr>
                                                <w:rFonts w:ascii="Cambria Math" w:hAnsi="Cambria Math"/>
                                                <w:i/>
                                                <w:iCs/>
                                                <w:lang w:val="en-US"/>
                                              </w:rPr>
                                            </m:ctrlPr>
                                          </m:sSubSupPr>
                                          <m:e>
                                            <m:r>
                                              <w:rPr>
                                                <w:rFonts w:ascii="Cambria Math" w:hAnsi="Cambria Math"/>
                                              </w:rPr>
                                              <m:t>a</m:t>
                                            </m:r>
                                          </m:e>
                                          <m:sub>
                                            <m:r>
                                              <w:rPr>
                                                <w:rFonts w:ascii="Cambria Math" w:hAnsi="Cambria Math"/>
                                              </w:rPr>
                                              <m:t>L+1</m:t>
                                            </m:r>
                                          </m:sub>
                                          <m:sup>
                                            <m:r>
                                              <w:rPr>
                                                <w:rFonts w:ascii="Cambria Math" w:hAnsi="Cambria Math"/>
                                              </w:rPr>
                                              <m:t>'</m:t>
                                            </m:r>
                                          </m:sup>
                                        </m:sSubSup>
                                      </m:e>
                                    </m:mr>
                                  </m:m>
                                </m:e>
                                <m:e>
                                  <m:m>
                                    <m:mPr>
                                      <m:mcs>
                                        <m:mc>
                                          <m:mcPr>
                                            <m:count m:val="2"/>
                                            <m:mcJc m:val="center"/>
                                          </m:mcPr>
                                        </m:mc>
                                      </m:mcs>
                                      <m:ctrlPr>
                                        <w:rPr>
                                          <w:rFonts w:ascii="Cambria Math" w:hAnsi="Cambria Math"/>
                                          <w:i/>
                                          <w:iCs/>
                                          <w:lang w:val="en-US"/>
                                        </w:rPr>
                                      </m:ctrlPr>
                                    </m:mPr>
                                    <m:mr>
                                      <m:e>
                                        <m:r>
                                          <w:rPr>
                                            <w:rFonts w:ascii="Cambria Math" w:hAnsi="Cambria Math"/>
                                          </w:rPr>
                                          <m:t>⋯</m:t>
                                        </m:r>
                                      </m:e>
                                      <m:e>
                                        <m:sSubSup>
                                          <m:sSubSupPr>
                                            <m:ctrlPr>
                                              <w:rPr>
                                                <w:rFonts w:ascii="Cambria Math" w:hAnsi="Cambria Math"/>
                                                <w:i/>
                                                <w:iCs/>
                                                <w:lang w:val="en-US"/>
                                              </w:rPr>
                                            </m:ctrlPr>
                                          </m:sSubSupPr>
                                          <m:e>
                                            <m:r>
                                              <w:rPr>
                                                <w:rFonts w:ascii="Cambria Math" w:hAnsi="Cambria Math"/>
                                              </w:rPr>
                                              <m:t>a</m:t>
                                            </m:r>
                                          </m:e>
                                          <m:sub>
                                            <m:r>
                                              <w:rPr>
                                                <w:rFonts w:ascii="Cambria Math" w:hAnsi="Cambria Math"/>
                                              </w:rPr>
                                              <m:t>2L-1</m:t>
                                            </m:r>
                                          </m:sub>
                                          <m:sup>
                                            <m:r>
                                              <w:rPr>
                                                <w:rFonts w:ascii="Cambria Math" w:hAnsi="Cambria Math"/>
                                              </w:rPr>
                                              <m:t>'</m:t>
                                            </m:r>
                                          </m:sup>
                                        </m:sSubSup>
                                      </m:e>
                                    </m:mr>
                                  </m:m>
                                </m:e>
                              </m:mr>
                            </m:m>
                          </m:e>
                        </m:mr>
                      </m:m>
                    </m:e>
                  </m:d>
                </m:e>
                <m:sup>
                  <m:r>
                    <w:rPr>
                      <w:rFonts w:ascii="Cambria Math" w:hAnsi="Cambria Math"/>
                    </w:rPr>
                    <m:t>T</m:t>
                  </m:r>
                </m:sup>
              </m:sSup>
            </m:oMath>
          </w:p>
        </w:tc>
      </w:tr>
    </w:tbl>
    <w:p w14:paraId="2558F0EE" w14:textId="77777777" w:rsidR="00F26088" w:rsidRDefault="00F26088" w:rsidP="00DF0F9A">
      <w:pPr>
        <w:keepNext/>
        <w:ind w:right="14"/>
      </w:pPr>
    </w:p>
    <w:p w14:paraId="6B641CE4" w14:textId="5781D682" w:rsidR="00F26088" w:rsidRDefault="00F26088" w:rsidP="00F26088">
      <w:pPr>
        <w:ind w:right="14"/>
      </w:pPr>
      <w:r>
        <w:t xml:space="preserve">The simulation results for </w:t>
      </w:r>
      <w:r w:rsidRPr="00010B06">
        <w:rPr>
          <w:i/>
        </w:rPr>
        <w:t>L</w:t>
      </w:r>
      <w:r>
        <w:t xml:space="preserve"> = 4 beams are shown in </w:t>
      </w:r>
      <w:r>
        <w:fldChar w:fldCharType="begin"/>
      </w:r>
      <w:r>
        <w:instrText xml:space="preserve"> REF _Ref474140101 \h </w:instrText>
      </w:r>
      <w:r>
        <w:fldChar w:fldCharType="separate"/>
      </w:r>
      <w:r w:rsidR="008C5F20">
        <w:t xml:space="preserve">Figure </w:t>
      </w:r>
      <w:r w:rsidR="008C5F20">
        <w:rPr>
          <w:noProof/>
        </w:rPr>
        <w:t>3</w:t>
      </w:r>
      <w:r>
        <w:fldChar w:fldCharType="end"/>
      </w:r>
      <w:r>
        <w:t xml:space="preserve"> (WB amplitude reporting) and </w:t>
      </w:r>
      <w:r>
        <w:fldChar w:fldCharType="begin"/>
      </w:r>
      <w:r>
        <w:instrText xml:space="preserve"> REF _Ref474140107 \h </w:instrText>
      </w:r>
      <w:r>
        <w:fldChar w:fldCharType="separate"/>
      </w:r>
      <w:r w:rsidR="008C5F20">
        <w:t xml:space="preserve">Figure </w:t>
      </w:r>
      <w:r w:rsidR="008C5F20">
        <w:rPr>
          <w:noProof/>
        </w:rPr>
        <w:t>4</w:t>
      </w:r>
      <w:r>
        <w:fldChar w:fldCharType="end"/>
      </w:r>
      <w:r>
        <w:t xml:space="preserve"> (SB amplitude reporting), where amplitude and phase of coefficients are </w:t>
      </w:r>
      <w:proofErr w:type="spellStart"/>
      <w:r>
        <w:t>unquantized</w:t>
      </w:r>
      <w:proofErr w:type="spellEnd"/>
      <w:r>
        <w:t xml:space="preserve">. The results for 3 bit phase and 3 bit amplitude quantization are shown in </w:t>
      </w:r>
      <w:r>
        <w:fldChar w:fldCharType="begin"/>
      </w:r>
      <w:r>
        <w:instrText xml:space="preserve"> REF _Ref474141952 \h </w:instrText>
      </w:r>
      <w:r>
        <w:fldChar w:fldCharType="separate"/>
      </w:r>
      <w:r w:rsidR="008C5F20">
        <w:t xml:space="preserve">Figure </w:t>
      </w:r>
      <w:r w:rsidR="008C5F20">
        <w:rPr>
          <w:noProof/>
        </w:rPr>
        <w:t>5</w:t>
      </w:r>
      <w:r>
        <w:fldChar w:fldCharType="end"/>
      </w:r>
      <w:r>
        <w:t xml:space="preserve"> (WB amplitude reporting) and </w:t>
      </w:r>
      <w:r>
        <w:fldChar w:fldCharType="begin"/>
      </w:r>
      <w:r>
        <w:instrText xml:space="preserve"> REF _Ref474141961 \h </w:instrText>
      </w:r>
      <w:r>
        <w:fldChar w:fldCharType="separate"/>
      </w:r>
      <w:r w:rsidR="008C5F20">
        <w:t xml:space="preserve">Figure </w:t>
      </w:r>
      <w:r w:rsidR="008C5F20">
        <w:rPr>
          <w:noProof/>
        </w:rPr>
        <w:t>6</w:t>
      </w:r>
      <w:r>
        <w:fldChar w:fldCharType="end"/>
      </w:r>
      <w:r>
        <w:t xml:space="preserve"> (SB amplitude reporting). We can make the following observation. </w:t>
      </w:r>
    </w:p>
    <w:p w14:paraId="7AB5560E" w14:textId="55C35A5F" w:rsidR="00F26088" w:rsidRPr="00CC5A99" w:rsidRDefault="00F26088" w:rsidP="00F26088">
      <w:pPr>
        <w:rPr>
          <w:b/>
          <w:i/>
        </w:rPr>
      </w:pPr>
      <w:r w:rsidRPr="001C759C">
        <w:rPr>
          <w:b/>
          <w:i/>
        </w:rPr>
        <w:t xml:space="preserve">Observation </w:t>
      </w:r>
      <w:r>
        <w:rPr>
          <w:b/>
          <w:i/>
        </w:rPr>
        <w:t>2</w:t>
      </w:r>
      <w:r w:rsidRPr="001C759C">
        <w:rPr>
          <w:b/>
          <w:i/>
        </w:rPr>
        <w:t>:</w:t>
      </w:r>
      <w:r>
        <w:rPr>
          <w:b/>
          <w:i/>
        </w:rPr>
        <w:t xml:space="preserve"> </w:t>
      </w:r>
      <w:r w:rsidRPr="00CC5A99">
        <w:rPr>
          <w:i/>
        </w:rPr>
        <w:t>Between four amplitude reporting types, amplitude type 3 (</w:t>
      </w:r>
      <w:r w:rsidR="00C50229">
        <w:rPr>
          <w:i/>
        </w:rPr>
        <w:t>independent</w:t>
      </w:r>
      <w:r w:rsidRPr="00CC5A99">
        <w:rPr>
          <w:i/>
        </w:rPr>
        <w:t xml:space="preserve"> amplitude for two polarizations and two layers) shows significant performance gain</w:t>
      </w:r>
      <w:r>
        <w:rPr>
          <w:i/>
        </w:rPr>
        <w:t xml:space="preserve"> over amplitude types 0, 1, and 2 for both WB and SB amplitude reporting, and for both </w:t>
      </w:r>
      <w:proofErr w:type="spellStart"/>
      <w:r>
        <w:rPr>
          <w:i/>
        </w:rPr>
        <w:t>unquantized</w:t>
      </w:r>
      <w:proofErr w:type="spellEnd"/>
      <w:r>
        <w:rPr>
          <w:i/>
        </w:rPr>
        <w:t xml:space="preserve"> and quantized amplitude and phase.</w:t>
      </w:r>
    </w:p>
    <w:p w14:paraId="19B34169" w14:textId="77777777" w:rsidR="00F26088" w:rsidRPr="00567366" w:rsidRDefault="00F26088" w:rsidP="00F26088">
      <w:pPr>
        <w:pStyle w:val="ListParagraph"/>
        <w:numPr>
          <w:ilvl w:val="0"/>
          <w:numId w:val="37"/>
        </w:numPr>
        <w:ind w:leftChars="0"/>
        <w:rPr>
          <w:i/>
        </w:rPr>
      </w:pPr>
      <w:r w:rsidRPr="00567366">
        <w:rPr>
          <w:i/>
        </w:rPr>
        <w:t>~10-12% and ~22-25% additional gain in avg. and 5% UPT, respectively with amplitude type 3 when compared with amplitude type 0, 1, and 2</w:t>
      </w:r>
    </w:p>
    <w:p w14:paraId="34FDCFC6" w14:textId="77777777" w:rsidR="00F26088" w:rsidRDefault="00F26088" w:rsidP="00F26088">
      <w:pPr>
        <w:keepNext/>
        <w:ind w:right="14"/>
      </w:pPr>
      <w:r>
        <w:t xml:space="preserve">One can argue that for WB amplitude reporting, the performance of the four amplitude types should be close assuming that WB beam power across two polarizations and across two layers are close. We however observe up to more than 12% and more than 25% additional gain in avg. and 5% UPT, respectively with amplitude type 3 when compared with amplitude type 0, 1, and 2. The reason for this phenomenon is significant difference in WB power levels across two polarizations and two layers, which can evident from power ratio distribution plots (in dB) shown in </w:t>
      </w:r>
      <w:r>
        <w:fldChar w:fldCharType="begin"/>
      </w:r>
      <w:r>
        <w:instrText xml:space="preserve"> REF _Ref474652138 \h </w:instrText>
      </w:r>
      <w:r>
        <w:fldChar w:fldCharType="separate"/>
      </w:r>
      <w:r w:rsidR="008C5F20">
        <w:t xml:space="preserve">Figure </w:t>
      </w:r>
      <w:r w:rsidR="008C5F20">
        <w:rPr>
          <w:noProof/>
        </w:rPr>
        <w:t>7</w:t>
      </w:r>
      <w:r>
        <w:fldChar w:fldCharType="end"/>
      </w:r>
      <w:r>
        <w:t xml:space="preserve"> and </w:t>
      </w:r>
      <w:r>
        <w:fldChar w:fldCharType="begin"/>
      </w:r>
      <w:r>
        <w:instrText xml:space="preserve"> REF _Ref474652139 \h </w:instrText>
      </w:r>
      <w:r>
        <w:fldChar w:fldCharType="separate"/>
      </w:r>
      <w:r w:rsidR="008C5F20">
        <w:t xml:space="preserve">Figure </w:t>
      </w:r>
      <w:r w:rsidR="008C5F20">
        <w:rPr>
          <w:noProof/>
        </w:rPr>
        <w:t>8</w:t>
      </w:r>
      <w:r>
        <w:fldChar w:fldCharType="end"/>
      </w:r>
      <w:r>
        <w:t xml:space="preserve"> where </w:t>
      </w:r>
      <w:proofErr w:type="spellStart"/>
      <w:r>
        <w:t>unquantized</w:t>
      </w:r>
      <w:proofErr w:type="spellEnd"/>
      <w:r>
        <w:t xml:space="preserve"> power is assumed.    </w:t>
      </w:r>
    </w:p>
    <w:p w14:paraId="0818AEBB" w14:textId="77777777" w:rsidR="00F26088" w:rsidRDefault="00F26088" w:rsidP="00F26088">
      <w:pPr>
        <w:keepNext/>
        <w:ind w:right="14"/>
      </w:pPr>
      <w:r>
        <w:t>We therefore propose the following.</w:t>
      </w:r>
    </w:p>
    <w:p w14:paraId="35F40092" w14:textId="40733FD0" w:rsidR="00F26088" w:rsidRPr="00E74757" w:rsidRDefault="00F26088" w:rsidP="00F26088">
      <w:pPr>
        <w:ind w:right="14"/>
        <w:rPr>
          <w:i/>
        </w:rPr>
      </w:pPr>
      <w:r w:rsidRPr="00E74757">
        <w:rPr>
          <w:b/>
          <w:i/>
        </w:rPr>
        <w:t xml:space="preserve">Proposal </w:t>
      </w:r>
      <w:r>
        <w:rPr>
          <w:b/>
          <w:i/>
        </w:rPr>
        <w:t>2</w:t>
      </w:r>
      <w:r>
        <w:rPr>
          <w:i/>
        </w:rPr>
        <w:t>: For amplitude reporting, a</w:t>
      </w:r>
      <w:r w:rsidRPr="00CC5A99">
        <w:rPr>
          <w:i/>
        </w:rPr>
        <w:t>mplitude type 3 (</w:t>
      </w:r>
      <w:r w:rsidR="00987064">
        <w:rPr>
          <w:i/>
        </w:rPr>
        <w:t>independent</w:t>
      </w:r>
      <w:r w:rsidRPr="00CC5A99">
        <w:rPr>
          <w:i/>
        </w:rPr>
        <w:t xml:space="preserve"> amplitude for two polarizations and two layers)</w:t>
      </w:r>
      <w:r>
        <w:rPr>
          <w:i/>
        </w:rPr>
        <w:t xml:space="preserve"> is supported.  </w:t>
      </w:r>
    </w:p>
    <w:p w14:paraId="6CC6A333" w14:textId="77777777" w:rsidR="00F26088" w:rsidRDefault="00F26088" w:rsidP="00F26088">
      <w:pPr>
        <w:keepNext/>
        <w:spacing w:after="60"/>
        <w:ind w:right="14"/>
        <w:rPr>
          <w:i/>
        </w:rPr>
      </w:pPr>
    </w:p>
    <w:p w14:paraId="1B6FC448" w14:textId="77777777" w:rsidR="00F26088" w:rsidRDefault="00F26088" w:rsidP="00F26088">
      <w:pPr>
        <w:keepNext/>
        <w:widowControl w:val="0"/>
        <w:spacing w:after="0"/>
        <w:jc w:val="center"/>
      </w:pPr>
      <w:r>
        <w:rPr>
          <w:rFonts w:eastAsia="SimSun"/>
          <w:noProof/>
          <w:kern w:val="2"/>
          <w:lang w:val="en-US"/>
        </w:rPr>
        <w:drawing>
          <wp:inline distT="0" distB="0" distL="0" distR="0" wp14:anchorId="1488B2B6" wp14:editId="77FBA97A">
            <wp:extent cx="6114553" cy="3200400"/>
            <wp:effectExtent l="0" t="0" r="635" b="0"/>
            <wp:docPr id="3"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29C9AF3C" w14:textId="77777777" w:rsidR="00F26088" w:rsidRPr="00C46B22" w:rsidRDefault="00F26088" w:rsidP="00F26088">
      <w:pPr>
        <w:pStyle w:val="Caption"/>
        <w:jc w:val="center"/>
        <w:rPr>
          <w:color w:val="FF0000"/>
        </w:rPr>
      </w:pPr>
      <w:bookmarkStart w:id="7" w:name="_Ref474140101"/>
      <w:r>
        <w:t xml:space="preserve">Figure </w:t>
      </w:r>
      <w:r>
        <w:fldChar w:fldCharType="begin"/>
      </w:r>
      <w:r>
        <w:instrText xml:space="preserve"> SEQ Figure \* ARABIC </w:instrText>
      </w:r>
      <w:r>
        <w:fldChar w:fldCharType="separate"/>
      </w:r>
      <w:r w:rsidR="008C5F20">
        <w:rPr>
          <w:noProof/>
        </w:rPr>
        <w:t>3</w:t>
      </w:r>
      <w:r>
        <w:fldChar w:fldCharType="end"/>
      </w:r>
      <w:bookmarkEnd w:id="7"/>
      <w:r>
        <w:t>: Performance comparison of four amplitude types</w:t>
      </w:r>
    </w:p>
    <w:p w14:paraId="395469AA" w14:textId="77777777" w:rsidR="00F26088" w:rsidRDefault="00F26088" w:rsidP="00F26088">
      <w:pPr>
        <w:keepNext/>
        <w:widowControl w:val="0"/>
        <w:spacing w:after="0"/>
        <w:jc w:val="center"/>
      </w:pPr>
      <w:r>
        <w:rPr>
          <w:rFonts w:eastAsia="SimSun"/>
          <w:noProof/>
          <w:kern w:val="2"/>
          <w:lang w:val="en-US"/>
        </w:rPr>
        <w:lastRenderedPageBreak/>
        <w:drawing>
          <wp:inline distT="0" distB="0" distL="0" distR="0" wp14:anchorId="43736354" wp14:editId="21C96FD4">
            <wp:extent cx="6114553" cy="3200400"/>
            <wp:effectExtent l="0" t="0" r="635" b="0"/>
            <wp:docPr id="4" name="Chart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76666291" w14:textId="77777777" w:rsidR="00F26088" w:rsidRPr="00C46B22" w:rsidRDefault="00F26088" w:rsidP="00F26088">
      <w:pPr>
        <w:pStyle w:val="Caption"/>
        <w:jc w:val="center"/>
        <w:rPr>
          <w:color w:val="FF0000"/>
        </w:rPr>
      </w:pPr>
      <w:bookmarkStart w:id="8" w:name="_Ref474140107"/>
      <w:r>
        <w:t xml:space="preserve">Figure </w:t>
      </w:r>
      <w:r>
        <w:fldChar w:fldCharType="begin"/>
      </w:r>
      <w:r>
        <w:instrText xml:space="preserve"> SEQ Figure \* ARABIC </w:instrText>
      </w:r>
      <w:r>
        <w:fldChar w:fldCharType="separate"/>
      </w:r>
      <w:r w:rsidR="008C5F20">
        <w:rPr>
          <w:noProof/>
        </w:rPr>
        <w:t>4</w:t>
      </w:r>
      <w:r>
        <w:fldChar w:fldCharType="end"/>
      </w:r>
      <w:bookmarkEnd w:id="8"/>
      <w:r>
        <w:t>: Performance comparison of four amplitude types</w:t>
      </w:r>
    </w:p>
    <w:p w14:paraId="50E03D46" w14:textId="77777777" w:rsidR="00F26088" w:rsidRDefault="00F26088" w:rsidP="00F26088">
      <w:pPr>
        <w:keepNext/>
        <w:spacing w:after="60"/>
        <w:ind w:right="14"/>
        <w:rPr>
          <w:i/>
          <w:color w:val="FF0000"/>
        </w:rPr>
      </w:pPr>
    </w:p>
    <w:p w14:paraId="459B9626" w14:textId="77777777" w:rsidR="00F26088" w:rsidRDefault="00F26088" w:rsidP="00F26088">
      <w:pPr>
        <w:keepNext/>
        <w:widowControl w:val="0"/>
        <w:spacing w:after="0"/>
        <w:jc w:val="center"/>
      </w:pPr>
      <w:r>
        <w:rPr>
          <w:rFonts w:eastAsia="SimSun"/>
          <w:noProof/>
          <w:kern w:val="2"/>
          <w:lang w:val="en-US"/>
        </w:rPr>
        <w:drawing>
          <wp:inline distT="0" distB="0" distL="0" distR="0" wp14:anchorId="3DDE51C4" wp14:editId="04A86AC5">
            <wp:extent cx="6114553" cy="3200400"/>
            <wp:effectExtent l="0" t="0" r="635" b="0"/>
            <wp:docPr id="5" name="Chart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7CDC02F9" w14:textId="77777777" w:rsidR="00F26088" w:rsidRPr="00734775" w:rsidRDefault="00F26088" w:rsidP="00F26088">
      <w:pPr>
        <w:pStyle w:val="Caption"/>
        <w:jc w:val="center"/>
        <w:rPr>
          <w:color w:val="FF0000"/>
        </w:rPr>
      </w:pPr>
      <w:bookmarkStart w:id="9" w:name="_Ref474141952"/>
      <w:r>
        <w:t xml:space="preserve">Figure </w:t>
      </w:r>
      <w:r>
        <w:fldChar w:fldCharType="begin"/>
      </w:r>
      <w:r>
        <w:instrText xml:space="preserve"> SEQ Figure \* ARABIC </w:instrText>
      </w:r>
      <w:r>
        <w:fldChar w:fldCharType="separate"/>
      </w:r>
      <w:r w:rsidR="008C5F20">
        <w:rPr>
          <w:noProof/>
        </w:rPr>
        <w:t>5</w:t>
      </w:r>
      <w:r>
        <w:fldChar w:fldCharType="end"/>
      </w:r>
      <w:bookmarkEnd w:id="9"/>
      <w:r>
        <w:t>: Performance comparison of four amplitude types</w:t>
      </w:r>
    </w:p>
    <w:p w14:paraId="1F6AFC20" w14:textId="77777777" w:rsidR="00F26088" w:rsidRDefault="00F26088" w:rsidP="00F26088">
      <w:pPr>
        <w:keepNext/>
        <w:widowControl w:val="0"/>
        <w:spacing w:after="0"/>
        <w:jc w:val="center"/>
      </w:pPr>
      <w:r>
        <w:rPr>
          <w:rFonts w:eastAsia="SimSun"/>
          <w:noProof/>
          <w:kern w:val="2"/>
          <w:lang w:val="en-US"/>
        </w:rPr>
        <w:lastRenderedPageBreak/>
        <w:drawing>
          <wp:inline distT="0" distB="0" distL="0" distR="0" wp14:anchorId="5EAF2E46" wp14:editId="7C8EC2BD">
            <wp:extent cx="6114553" cy="3200400"/>
            <wp:effectExtent l="0" t="0" r="635" b="0"/>
            <wp:docPr id="6" name="Chart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6657203A" w14:textId="77777777" w:rsidR="00F26088" w:rsidRPr="00734775" w:rsidRDefault="00F26088" w:rsidP="00F26088">
      <w:pPr>
        <w:pStyle w:val="Caption"/>
        <w:jc w:val="center"/>
        <w:rPr>
          <w:color w:val="FF0000"/>
        </w:rPr>
      </w:pPr>
      <w:bookmarkStart w:id="10" w:name="_Ref474141961"/>
      <w:r>
        <w:t xml:space="preserve">Figure </w:t>
      </w:r>
      <w:r>
        <w:fldChar w:fldCharType="begin"/>
      </w:r>
      <w:r>
        <w:instrText xml:space="preserve"> SEQ Figure \* ARABIC </w:instrText>
      </w:r>
      <w:r>
        <w:fldChar w:fldCharType="separate"/>
      </w:r>
      <w:r w:rsidR="008C5F20">
        <w:rPr>
          <w:noProof/>
        </w:rPr>
        <w:t>6</w:t>
      </w:r>
      <w:r>
        <w:fldChar w:fldCharType="end"/>
      </w:r>
      <w:bookmarkEnd w:id="10"/>
      <w:r>
        <w:t xml:space="preserve">: Performance comparison of four amplitude types </w:t>
      </w:r>
    </w:p>
    <w:p w14:paraId="377C51A6" w14:textId="77777777" w:rsidR="00F26088" w:rsidRPr="00C46B22" w:rsidRDefault="00F26088" w:rsidP="00F26088">
      <w:pPr>
        <w:keepNext/>
        <w:spacing w:after="60"/>
        <w:ind w:right="14"/>
        <w:rPr>
          <w:i/>
          <w:color w:val="FF0000"/>
        </w:rPr>
        <w:sectPr w:rsidR="00F26088" w:rsidRPr="00C46B22" w:rsidSect="00F26088">
          <w:headerReference w:type="default" r:id="rId14"/>
          <w:footnotePr>
            <w:numRestart w:val="eachSect"/>
          </w:footnotePr>
          <w:type w:val="continuous"/>
          <w:pgSz w:w="11907" w:h="16840" w:code="9"/>
          <w:pgMar w:top="1418" w:right="1134" w:bottom="1134" w:left="1134" w:header="680" w:footer="567" w:gutter="0"/>
          <w:cols w:space="720"/>
        </w:sectPr>
      </w:pPr>
    </w:p>
    <w:p w14:paraId="37551B75" w14:textId="77777777" w:rsidR="00F26088" w:rsidRDefault="00F26088" w:rsidP="00F26088">
      <w:pPr>
        <w:sectPr w:rsidR="00F26088" w:rsidSect="00B4348A">
          <w:footnotePr>
            <w:numRestart w:val="eachSect"/>
          </w:footnotePr>
          <w:type w:val="continuous"/>
          <w:pgSz w:w="11907" w:h="16840" w:code="9"/>
          <w:pgMar w:top="1418" w:right="1134" w:bottom="1134" w:left="1134" w:header="680" w:footer="567" w:gutter="0"/>
          <w:cols w:space="720"/>
        </w:sectPr>
      </w:pPr>
    </w:p>
    <w:p w14:paraId="570B1C49" w14:textId="77777777" w:rsidR="00F26088" w:rsidRDefault="00F26088" w:rsidP="00F26088">
      <w:pPr>
        <w:keepNext/>
        <w:spacing w:after="60"/>
        <w:ind w:right="14"/>
        <w:jc w:val="center"/>
      </w:pPr>
      <w:r w:rsidRPr="00133635">
        <w:rPr>
          <w:noProof/>
          <w:lang w:val="en-US"/>
        </w:rPr>
        <w:drawing>
          <wp:inline distT="0" distB="0" distL="0" distR="0" wp14:anchorId="6C1EB225" wp14:editId="4543F2A4">
            <wp:extent cx="4265939" cy="3066757"/>
            <wp:effectExtent l="0" t="0" r="0" b="63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283095" cy="3079090"/>
                    </a:xfrm>
                    <a:prstGeom prst="rect">
                      <a:avLst/>
                    </a:prstGeom>
                    <a:noFill/>
                    <a:ln>
                      <a:noFill/>
                    </a:ln>
                  </pic:spPr>
                </pic:pic>
              </a:graphicData>
            </a:graphic>
          </wp:inline>
        </w:drawing>
      </w:r>
    </w:p>
    <w:p w14:paraId="604912FB" w14:textId="77777777" w:rsidR="00F26088" w:rsidRPr="00567366" w:rsidRDefault="00F26088" w:rsidP="00F26088">
      <w:pPr>
        <w:pStyle w:val="Caption"/>
        <w:jc w:val="center"/>
      </w:pPr>
      <w:bookmarkStart w:id="11" w:name="_Ref474652138"/>
      <w:r>
        <w:t xml:space="preserve">Figure </w:t>
      </w:r>
      <w:r>
        <w:fldChar w:fldCharType="begin"/>
      </w:r>
      <w:r>
        <w:instrText xml:space="preserve"> SEQ Figure \* ARABIC </w:instrText>
      </w:r>
      <w:r>
        <w:fldChar w:fldCharType="separate"/>
      </w:r>
      <w:r w:rsidR="008C5F20">
        <w:rPr>
          <w:noProof/>
        </w:rPr>
        <w:t>7</w:t>
      </w:r>
      <w:r>
        <w:fldChar w:fldCharType="end"/>
      </w:r>
      <w:bookmarkEnd w:id="11"/>
      <w:r>
        <w:t>: Distribution of WB power ratio across two polarizations and two layers for 16 ports</w:t>
      </w:r>
    </w:p>
    <w:p w14:paraId="6E6A07B0" w14:textId="77777777" w:rsidR="00F26088" w:rsidRDefault="00F26088" w:rsidP="00F26088">
      <w:pPr>
        <w:keepNext/>
        <w:spacing w:after="60"/>
        <w:ind w:right="14"/>
        <w:jc w:val="center"/>
      </w:pPr>
      <w:r w:rsidRPr="00133635">
        <w:rPr>
          <w:noProof/>
          <w:lang w:val="en-US"/>
        </w:rPr>
        <w:lastRenderedPageBreak/>
        <w:drawing>
          <wp:inline distT="0" distB="0" distL="0" distR="0" wp14:anchorId="09E8BC2F" wp14:editId="135DE46B">
            <wp:extent cx="4211027" cy="3036128"/>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215914" cy="3039651"/>
                    </a:xfrm>
                    <a:prstGeom prst="rect">
                      <a:avLst/>
                    </a:prstGeom>
                    <a:noFill/>
                    <a:ln>
                      <a:noFill/>
                    </a:ln>
                  </pic:spPr>
                </pic:pic>
              </a:graphicData>
            </a:graphic>
          </wp:inline>
        </w:drawing>
      </w:r>
    </w:p>
    <w:p w14:paraId="74B5E957" w14:textId="77777777" w:rsidR="00F26088" w:rsidRPr="004D1BAA" w:rsidRDefault="00F26088" w:rsidP="00F26088">
      <w:pPr>
        <w:pStyle w:val="Caption"/>
        <w:jc w:val="center"/>
      </w:pPr>
      <w:bookmarkStart w:id="12" w:name="_Ref474652139"/>
      <w:r>
        <w:t xml:space="preserve">Figure </w:t>
      </w:r>
      <w:r>
        <w:fldChar w:fldCharType="begin"/>
      </w:r>
      <w:r>
        <w:instrText xml:space="preserve"> SEQ Figure \* ARABIC </w:instrText>
      </w:r>
      <w:r>
        <w:fldChar w:fldCharType="separate"/>
      </w:r>
      <w:r w:rsidR="008C5F20">
        <w:rPr>
          <w:noProof/>
        </w:rPr>
        <w:t>8</w:t>
      </w:r>
      <w:r>
        <w:fldChar w:fldCharType="end"/>
      </w:r>
      <w:bookmarkEnd w:id="12"/>
      <w:r>
        <w:t>: Distribution of WB power ratio across two polarizations and two layers for 32 ports</w:t>
      </w:r>
    </w:p>
    <w:p w14:paraId="01C598EF" w14:textId="77777777" w:rsidR="00F26088" w:rsidRDefault="00F26088" w:rsidP="00F26088">
      <w:pPr>
        <w:spacing w:after="60"/>
        <w:ind w:right="14"/>
        <w:jc w:val="center"/>
        <w:sectPr w:rsidR="00F26088" w:rsidSect="00B4348A">
          <w:headerReference w:type="default" r:id="rId17"/>
          <w:footnotePr>
            <w:numRestart w:val="eachSect"/>
          </w:footnotePr>
          <w:type w:val="continuous"/>
          <w:pgSz w:w="11907" w:h="16840" w:code="9"/>
          <w:pgMar w:top="1418" w:right="1134" w:bottom="1134" w:left="1134" w:header="680" w:footer="567" w:gutter="0"/>
          <w:cols w:space="720"/>
        </w:sectPr>
      </w:pPr>
    </w:p>
    <w:p w14:paraId="64EE0D78" w14:textId="77777777" w:rsidR="00F26088" w:rsidRDefault="00F26088" w:rsidP="00A439CD">
      <w:pPr>
        <w:ind w:right="14"/>
        <w:rPr>
          <w:i/>
          <w:u w:val="single"/>
        </w:rPr>
      </w:pPr>
    </w:p>
    <w:p w14:paraId="4B5324ED" w14:textId="0A223E09" w:rsidR="00A439CD" w:rsidRDefault="00A439CD" w:rsidP="00A439CD">
      <w:pPr>
        <w:ind w:right="14"/>
        <w:rPr>
          <w:i/>
          <w:u w:val="single"/>
        </w:rPr>
      </w:pPr>
      <w:r>
        <w:rPr>
          <w:i/>
          <w:u w:val="single"/>
        </w:rPr>
        <w:t>Evaluation 3</w:t>
      </w:r>
      <w:r w:rsidRPr="00BE3AF2">
        <w:rPr>
          <w:i/>
          <w:u w:val="single"/>
        </w:rPr>
        <w:t>:</w:t>
      </w:r>
      <w:r>
        <w:rPr>
          <w:i/>
          <w:u w:val="single"/>
        </w:rPr>
        <w:t xml:space="preserve"> WB vs. WB+SB amplitude</w:t>
      </w:r>
    </w:p>
    <w:p w14:paraId="734A9398" w14:textId="2CAE6FC3" w:rsidR="00B4348A" w:rsidRDefault="009E56D8" w:rsidP="00B4348A">
      <w:r>
        <w:t xml:space="preserve">Assuming </w:t>
      </w:r>
      <w:r w:rsidR="00B4348A">
        <w:t xml:space="preserve">Basis 0 and </w:t>
      </w:r>
      <w:r>
        <w:t>amplitude type 3, w</w:t>
      </w:r>
      <w:r w:rsidR="001F0729">
        <w:t>e next provide simulation results for amplitude and phase quantization of 2</w:t>
      </w:r>
      <w:r w:rsidR="001F0729" w:rsidRPr="00167654">
        <w:rPr>
          <w:i/>
        </w:rPr>
        <w:t>L</w:t>
      </w:r>
      <w:r w:rsidR="001F0729">
        <w:t xml:space="preserve">-1 coefficients, where </w:t>
      </w:r>
      <m:oMath>
        <m:sSub>
          <m:sSubPr>
            <m:ctrlPr>
              <w:rPr>
                <w:rFonts w:ascii="Cambria Math" w:hAnsi="Cambria Math"/>
                <w:i/>
              </w:rPr>
            </m:ctrlPr>
          </m:sSubPr>
          <m:e>
            <m:r>
              <w:rPr>
                <w:rFonts w:ascii="Cambria Math" w:hAnsi="Cambria Math"/>
              </w:rPr>
              <m:t>N</m:t>
            </m:r>
          </m:e>
          <m:sub>
            <m:r>
              <w:rPr>
                <w:rFonts w:ascii="Cambria Math" w:hAnsi="Cambria Math"/>
              </w:rPr>
              <m:t>P</m:t>
            </m:r>
          </m:sub>
        </m:sSub>
      </m:oMath>
      <w:r w:rsidR="001F0729">
        <w:t xml:space="preserve"> bit </w:t>
      </w:r>
      <m:oMath>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N</m:t>
                </m:r>
              </m:e>
              <m:sub>
                <m:r>
                  <w:rPr>
                    <w:rFonts w:ascii="Cambria Math" w:hAnsi="Cambria Math"/>
                  </w:rPr>
                  <m:t>P</m:t>
                </m:r>
              </m:sub>
            </m:sSub>
          </m:sup>
        </m:sSup>
        <m:r>
          <w:rPr>
            <w:rFonts w:ascii="Cambria Math" w:hAnsi="Cambria Math"/>
          </w:rPr>
          <m:t xml:space="preserve"> </m:t>
        </m:r>
      </m:oMath>
      <w:r w:rsidR="001F0729">
        <w:t xml:space="preserve">–PSK phase codebook are considered. </w:t>
      </w:r>
      <w:r w:rsidR="00B4348A">
        <w:t>For amplitude quantization, the following alternatives are evaluated:</w:t>
      </w:r>
    </w:p>
    <w:p w14:paraId="0F0D2D00" w14:textId="77777777" w:rsidR="00B4348A" w:rsidRDefault="00B4348A" w:rsidP="00B4348A">
      <w:pPr>
        <w:pStyle w:val="ListParagraph"/>
        <w:numPr>
          <w:ilvl w:val="0"/>
          <w:numId w:val="39"/>
        </w:numPr>
        <w:ind w:leftChars="0"/>
      </w:pPr>
      <w:r>
        <w:t xml:space="preserve">WB only: 3 bits amplitude codebook in [0, 1] </w:t>
      </w:r>
    </w:p>
    <w:p w14:paraId="0784195E" w14:textId="77777777" w:rsidR="00B4348A" w:rsidRDefault="00B4348A" w:rsidP="00B4348A">
      <w:pPr>
        <w:pStyle w:val="ListParagraph"/>
        <w:numPr>
          <w:ilvl w:val="0"/>
          <w:numId w:val="39"/>
        </w:numPr>
        <w:ind w:leftChars="0"/>
      </w:pPr>
      <w:r>
        <w:t xml:space="preserve">SB only: 3 bits amplitude codebook in [0, 1] </w:t>
      </w:r>
    </w:p>
    <w:p w14:paraId="020D8FDC" w14:textId="0AD9D17D" w:rsidR="00B4348A" w:rsidRDefault="00B4348A" w:rsidP="00E5409B">
      <w:pPr>
        <w:pStyle w:val="ListParagraph"/>
        <w:numPr>
          <w:ilvl w:val="0"/>
          <w:numId w:val="39"/>
        </w:numPr>
        <w:ind w:leftChars="0"/>
      </w:pPr>
      <w:r>
        <w:t xml:space="preserve">WB + SB: </w:t>
      </w:r>
      <w:r w:rsidR="003B43BD">
        <w:t xml:space="preserve">3 </w:t>
      </w:r>
      <w:r>
        <w:t>bit</w:t>
      </w:r>
      <w:r w:rsidR="003B43BD">
        <w:t>s</w:t>
      </w:r>
      <w:r>
        <w:t xml:space="preserve"> and </w:t>
      </w:r>
      <w:r w:rsidR="003B43BD">
        <w:t>1</w:t>
      </w:r>
      <w:r>
        <w:t xml:space="preserve"> bit amplitude codebooks in [0, 1] for WB and SB amp</w:t>
      </w:r>
      <w:r w:rsidR="003B43BD">
        <w:t>litude respectively.</w:t>
      </w:r>
    </w:p>
    <w:p w14:paraId="147B27A5" w14:textId="3A045422" w:rsidR="00B4348A" w:rsidRDefault="00B4348A" w:rsidP="00B4348A">
      <w:r>
        <w:t xml:space="preserve">The simulation results for </w:t>
      </w:r>
      <w:r w:rsidRPr="00010B06">
        <w:rPr>
          <w:i/>
        </w:rPr>
        <w:t>L</w:t>
      </w:r>
      <w:r>
        <w:t xml:space="preserve"> = 4 </w:t>
      </w:r>
      <w:r w:rsidR="00B327E6">
        <w:t xml:space="preserve">beams </w:t>
      </w:r>
      <w:r w:rsidR="009B5E4A">
        <w:t>are</w:t>
      </w:r>
      <w:r>
        <w:t xml:space="preserve"> shown in </w:t>
      </w:r>
      <w:r>
        <w:fldChar w:fldCharType="begin"/>
      </w:r>
      <w:r>
        <w:instrText xml:space="preserve"> REF _Ref471731641 \h  \* MERGEFORMAT </w:instrText>
      </w:r>
      <w:r>
        <w:fldChar w:fldCharType="separate"/>
      </w:r>
      <w:r w:rsidR="008C5F20">
        <w:t xml:space="preserve">Figure </w:t>
      </w:r>
      <w:r w:rsidR="008C5F20">
        <w:rPr>
          <w:noProof/>
        </w:rPr>
        <w:t>9</w:t>
      </w:r>
      <w:r>
        <w:fldChar w:fldCharType="end"/>
      </w:r>
      <w:r>
        <w:t xml:space="preserve">. The results for </w:t>
      </w:r>
      <w:proofErr w:type="spellStart"/>
      <w:r>
        <w:t>unquantized</w:t>
      </w:r>
      <w:proofErr w:type="spellEnd"/>
      <w:r>
        <w:t xml:space="preserve"> amplitude and phase (labelled as ‘</w:t>
      </w:r>
      <w:proofErr w:type="spellStart"/>
      <w:r>
        <w:t>Unquantized</w:t>
      </w:r>
      <w:proofErr w:type="spellEnd"/>
      <w:r>
        <w:t>’) are also shown. We make the following observation and proposal.</w:t>
      </w:r>
    </w:p>
    <w:p w14:paraId="428B3F46" w14:textId="77777777" w:rsidR="00B4348A" w:rsidRDefault="00B4348A" w:rsidP="00B4348A">
      <w:pPr>
        <w:ind w:right="14"/>
        <w:rPr>
          <w:i/>
        </w:rPr>
      </w:pPr>
      <w:r w:rsidRPr="00167654">
        <w:rPr>
          <w:b/>
          <w:i/>
        </w:rPr>
        <w:t xml:space="preserve">Observation </w:t>
      </w:r>
      <w:r>
        <w:rPr>
          <w:b/>
          <w:i/>
        </w:rPr>
        <w:t>3</w:t>
      </w:r>
      <w:r w:rsidRPr="00167654">
        <w:rPr>
          <w:i/>
        </w:rPr>
        <w:t>:</w:t>
      </w:r>
      <w:r>
        <w:rPr>
          <w:i/>
        </w:rPr>
        <w:t xml:space="preserve"> </w:t>
      </w:r>
    </w:p>
    <w:p w14:paraId="53AC8EC0" w14:textId="7C8DCD46" w:rsidR="00B4348A" w:rsidRDefault="00B4348A" w:rsidP="00B4348A">
      <w:pPr>
        <w:pStyle w:val="ListParagraph"/>
        <w:numPr>
          <w:ilvl w:val="0"/>
          <w:numId w:val="44"/>
        </w:numPr>
        <w:ind w:leftChars="0" w:right="14"/>
        <w:rPr>
          <w:i/>
        </w:rPr>
      </w:pPr>
      <w:r>
        <w:rPr>
          <w:i/>
        </w:rPr>
        <w:t xml:space="preserve">Although </w:t>
      </w:r>
      <w:r w:rsidRPr="00B4348A">
        <w:rPr>
          <w:i/>
        </w:rPr>
        <w:t>SB only amplitude reporting can achieve up to ~10% and ~23% additional gain in avg. and 5% UPT when compared with WB only amplitude reportin</w:t>
      </w:r>
      <w:r>
        <w:rPr>
          <w:i/>
        </w:rPr>
        <w:t xml:space="preserve">g, the total </w:t>
      </w:r>
      <w:r w:rsidRPr="00B4348A">
        <w:rPr>
          <w:i/>
        </w:rPr>
        <w:t>overhead increase is significant</w:t>
      </w:r>
      <w:r w:rsidR="00712022">
        <w:rPr>
          <w:i/>
        </w:rPr>
        <w:t>ly large</w:t>
      </w:r>
      <w:r w:rsidRPr="00B4348A">
        <w:rPr>
          <w:i/>
        </w:rPr>
        <w:t>.</w:t>
      </w:r>
    </w:p>
    <w:p w14:paraId="00B9F9D2" w14:textId="5A410DC5" w:rsidR="00B4348A" w:rsidRPr="00B4348A" w:rsidRDefault="00B4348A" w:rsidP="00B4348A">
      <w:pPr>
        <w:pStyle w:val="ListParagraph"/>
        <w:numPr>
          <w:ilvl w:val="0"/>
          <w:numId w:val="44"/>
        </w:numPr>
        <w:ind w:leftChars="0" w:right="14"/>
        <w:rPr>
          <w:i/>
        </w:rPr>
      </w:pPr>
      <w:r>
        <w:rPr>
          <w:i/>
        </w:rPr>
        <w:t xml:space="preserve">On the other hand, WB+SB </w:t>
      </w:r>
      <w:r w:rsidRPr="00B4348A">
        <w:rPr>
          <w:i/>
        </w:rPr>
        <w:t>amplitude</w:t>
      </w:r>
      <w:r w:rsidR="003272F0">
        <w:rPr>
          <w:i/>
        </w:rPr>
        <w:t xml:space="preserve"> </w:t>
      </w:r>
      <w:r w:rsidR="003272F0">
        <w:rPr>
          <w:i/>
        </w:rPr>
        <w:t>reporting</w:t>
      </w:r>
      <w:r>
        <w:rPr>
          <w:i/>
        </w:rPr>
        <w:t xml:space="preserve"> (with 1 bit SB amplitude) can achieve up to ~5% and ~16</w:t>
      </w:r>
      <w:r w:rsidRPr="00B4348A">
        <w:rPr>
          <w:i/>
        </w:rPr>
        <w:t>% additional gain in avg. and 5% UPT</w:t>
      </w:r>
      <w:r>
        <w:rPr>
          <w:i/>
        </w:rPr>
        <w:t xml:space="preserve"> </w:t>
      </w:r>
      <w:r w:rsidRPr="00B4348A">
        <w:rPr>
          <w:i/>
        </w:rPr>
        <w:t>when compared with WB only amplitude reporting</w:t>
      </w:r>
      <w:r w:rsidR="003272F0">
        <w:rPr>
          <w:i/>
        </w:rPr>
        <w:t>,</w:t>
      </w:r>
      <w:r>
        <w:rPr>
          <w:i/>
        </w:rPr>
        <w:t xml:space="preserve"> while keeping the total </w:t>
      </w:r>
      <w:r w:rsidRPr="00B4348A">
        <w:rPr>
          <w:i/>
        </w:rPr>
        <w:t xml:space="preserve">overhead increase </w:t>
      </w:r>
      <w:r w:rsidR="001C4B5D">
        <w:rPr>
          <w:i/>
        </w:rPr>
        <w:t>reasonable</w:t>
      </w:r>
      <w:r w:rsidRPr="00B4348A">
        <w:rPr>
          <w:i/>
        </w:rPr>
        <w:t>.</w:t>
      </w:r>
    </w:p>
    <w:p w14:paraId="1DED433A" w14:textId="52404479" w:rsidR="00B4348A" w:rsidRDefault="00B4348A" w:rsidP="00B4348A">
      <w:pPr>
        <w:spacing w:after="60"/>
        <w:ind w:right="14"/>
        <w:rPr>
          <w:i/>
        </w:rPr>
      </w:pPr>
      <w:r w:rsidRPr="00167654">
        <w:rPr>
          <w:b/>
          <w:i/>
        </w:rPr>
        <w:t xml:space="preserve">Proposal </w:t>
      </w:r>
      <w:r>
        <w:rPr>
          <w:b/>
          <w:i/>
        </w:rPr>
        <w:t>3</w:t>
      </w:r>
      <w:r w:rsidRPr="00167654">
        <w:rPr>
          <w:i/>
        </w:rPr>
        <w:t xml:space="preserve">: </w:t>
      </w:r>
      <w:r>
        <w:rPr>
          <w:i/>
        </w:rPr>
        <w:t>WB + SB amplitude reporting</w:t>
      </w:r>
      <w:r w:rsidR="003272F0">
        <w:rPr>
          <w:i/>
        </w:rPr>
        <w:t xml:space="preserve"> (with 1-bit SB amplitude)</w:t>
      </w:r>
      <w:r>
        <w:rPr>
          <w:i/>
        </w:rPr>
        <w:t xml:space="preserve"> is supported in Type II CSI codebook proposed in [</w:t>
      </w:r>
      <w:r w:rsidR="009824E7">
        <w:rPr>
          <w:i/>
        </w:rPr>
        <w:t>4</w:t>
      </w:r>
      <w:r>
        <w:rPr>
          <w:i/>
        </w:rPr>
        <w:t>].</w:t>
      </w:r>
    </w:p>
    <w:p w14:paraId="55634474" w14:textId="77777777" w:rsidR="00B4348A" w:rsidRDefault="00B4348A" w:rsidP="00B4348A"/>
    <w:p w14:paraId="5C45ED22" w14:textId="77777777" w:rsidR="00B4348A" w:rsidRDefault="00B4348A" w:rsidP="00B4348A">
      <w:pPr>
        <w:keepNext/>
        <w:spacing w:after="60"/>
        <w:ind w:right="14"/>
        <w:jc w:val="center"/>
      </w:pPr>
      <w:r>
        <w:rPr>
          <w:noProof/>
          <w:lang w:val="en-US"/>
        </w:rPr>
        <w:lastRenderedPageBreak/>
        <w:drawing>
          <wp:inline distT="0" distB="0" distL="0" distR="0" wp14:anchorId="407E3204" wp14:editId="4203316D">
            <wp:extent cx="4643562" cy="3200400"/>
            <wp:effectExtent l="0" t="0" r="5080" b="0"/>
            <wp:docPr id="13" name="Chart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14:paraId="01A706C6" w14:textId="384A304A" w:rsidR="00B4348A" w:rsidRDefault="00B4348A" w:rsidP="00B4348A">
      <w:pPr>
        <w:pStyle w:val="Caption"/>
        <w:jc w:val="center"/>
      </w:pPr>
      <w:bookmarkStart w:id="13" w:name="_Ref471731641"/>
      <w:r>
        <w:t xml:space="preserve">Figure </w:t>
      </w:r>
      <w:r>
        <w:fldChar w:fldCharType="begin"/>
      </w:r>
      <w:r>
        <w:instrText xml:space="preserve"> SEQ Figure \* ARABIC </w:instrText>
      </w:r>
      <w:r>
        <w:fldChar w:fldCharType="separate"/>
      </w:r>
      <w:r w:rsidR="008C5F20">
        <w:rPr>
          <w:noProof/>
        </w:rPr>
        <w:t>9</w:t>
      </w:r>
      <w:r>
        <w:fldChar w:fldCharType="end"/>
      </w:r>
      <w:bookmarkEnd w:id="13"/>
      <w:r>
        <w:t xml:space="preserve">: </w:t>
      </w:r>
      <w:r w:rsidR="008C5F20">
        <w:t>WB vs. SB</w:t>
      </w:r>
      <w:r w:rsidR="00EA6DCE">
        <w:t xml:space="preserve"> vs. WB + SB</w:t>
      </w:r>
      <w:r w:rsidR="008C5F20">
        <w:t xml:space="preserve"> amplitude reporting</w:t>
      </w:r>
    </w:p>
    <w:p w14:paraId="7FBB9019" w14:textId="77777777" w:rsidR="00B4348A" w:rsidRDefault="00B4348A" w:rsidP="00B4348A">
      <w:pPr>
        <w:spacing w:after="60"/>
        <w:ind w:right="14"/>
      </w:pPr>
    </w:p>
    <w:p w14:paraId="06178B84" w14:textId="687A3D6E" w:rsidR="003D3E2E" w:rsidRDefault="003D3E2E" w:rsidP="002958FD">
      <w:pPr>
        <w:pStyle w:val="Heading1"/>
      </w:pPr>
      <w:r>
        <w:rPr>
          <w:rFonts w:hint="eastAsia"/>
        </w:rPr>
        <w:t>Conclusions</w:t>
      </w:r>
      <w:bookmarkEnd w:id="4"/>
    </w:p>
    <w:p w14:paraId="504FF076" w14:textId="3386AD8A" w:rsidR="00117EB7" w:rsidRDefault="001C4B5D" w:rsidP="009A0F92">
      <w:pPr>
        <w:pStyle w:val="2222"/>
        <w:spacing w:line="288" w:lineRule="auto"/>
        <w:ind w:firstLineChars="0" w:firstLine="0"/>
        <w:rPr>
          <w:lang w:eastAsia="ko-KR"/>
        </w:rPr>
      </w:pPr>
      <w:r>
        <w:rPr>
          <w:lang w:eastAsia="ko-KR"/>
        </w:rPr>
        <w:t xml:space="preserve">In this contribution, </w:t>
      </w:r>
      <w:r w:rsidR="00F17185">
        <w:rPr>
          <w:lang w:eastAsia="ko-KR"/>
        </w:rPr>
        <w:t xml:space="preserve">additional </w:t>
      </w:r>
      <w:r>
        <w:rPr>
          <w:lang w:eastAsia="ko-KR"/>
        </w:rPr>
        <w:t xml:space="preserve">simulation results </w:t>
      </w:r>
      <w:r w:rsidR="00F17185">
        <w:rPr>
          <w:lang w:eastAsia="ko-KR"/>
        </w:rPr>
        <w:t xml:space="preserve">in support of </w:t>
      </w:r>
      <w:r>
        <w:rPr>
          <w:lang w:eastAsia="ko-KR"/>
        </w:rPr>
        <w:t xml:space="preserve">the </w:t>
      </w:r>
      <w:r w:rsidR="009824E7">
        <w:rPr>
          <w:lang w:eastAsia="ko-KR"/>
        </w:rPr>
        <w:t>proposed Type II CSI codebook [4</w:t>
      </w:r>
      <w:r>
        <w:rPr>
          <w:lang w:eastAsia="ko-KR"/>
        </w:rPr>
        <w:t>] are provided. The observations and proposals made are summarized as follows</w:t>
      </w:r>
      <w:r w:rsidR="00AC76CF">
        <w:rPr>
          <w:lang w:eastAsia="ko-KR"/>
        </w:rPr>
        <w:t>.</w:t>
      </w:r>
      <w:r w:rsidR="00117EB7">
        <w:rPr>
          <w:lang w:eastAsia="ko-KR"/>
        </w:rPr>
        <w:t xml:space="preserve"> </w:t>
      </w:r>
    </w:p>
    <w:p w14:paraId="583C3791" w14:textId="77777777" w:rsidR="001E07CB" w:rsidRDefault="001E07CB" w:rsidP="001E07CB">
      <w:pPr>
        <w:ind w:right="14"/>
        <w:rPr>
          <w:i/>
        </w:rPr>
      </w:pPr>
      <w:r w:rsidRPr="007A0881">
        <w:rPr>
          <w:b/>
          <w:i/>
        </w:rPr>
        <w:t>Observation 1</w:t>
      </w:r>
      <w:r w:rsidRPr="007A0881">
        <w:rPr>
          <w:i/>
        </w:rPr>
        <w:t>:</w:t>
      </w:r>
      <w:r>
        <w:rPr>
          <w:i/>
        </w:rPr>
        <w:t xml:space="preserve"> </w:t>
      </w:r>
    </w:p>
    <w:p w14:paraId="192C8B79" w14:textId="77777777" w:rsidR="001E07CB" w:rsidRPr="00C46B22" w:rsidRDefault="001E07CB" w:rsidP="001E07CB">
      <w:pPr>
        <w:pStyle w:val="ListParagraph"/>
        <w:numPr>
          <w:ilvl w:val="0"/>
          <w:numId w:val="34"/>
        </w:numPr>
        <w:ind w:leftChars="0" w:right="14"/>
        <w:rPr>
          <w:i/>
        </w:rPr>
      </w:pPr>
      <w:r w:rsidRPr="00C46B22">
        <w:rPr>
          <w:i/>
        </w:rPr>
        <w:t xml:space="preserve">Basis 2 (four partitions) is the worst of the three basis matrices; </w:t>
      </w:r>
    </w:p>
    <w:p w14:paraId="5CEF539B" w14:textId="77777777" w:rsidR="001E07CB" w:rsidRPr="00C46B22" w:rsidRDefault="001E07CB" w:rsidP="001E07CB">
      <w:pPr>
        <w:pStyle w:val="ListParagraph"/>
        <w:numPr>
          <w:ilvl w:val="0"/>
          <w:numId w:val="34"/>
        </w:numPr>
        <w:ind w:leftChars="0" w:right="14"/>
        <w:rPr>
          <w:i/>
        </w:rPr>
      </w:pPr>
      <w:r w:rsidRPr="00C46B22">
        <w:rPr>
          <w:i/>
        </w:rPr>
        <w:t>Basis 0 (2 partitions) and Basis 1 (</w:t>
      </w:r>
      <w:proofErr w:type="spellStart"/>
      <w:r w:rsidRPr="00C46B22">
        <w:rPr>
          <w:i/>
        </w:rPr>
        <w:t>Hadamard</w:t>
      </w:r>
      <w:proofErr w:type="spellEnd"/>
      <w:r w:rsidRPr="00C46B22">
        <w:rPr>
          <w:i/>
        </w:rPr>
        <w:t xml:space="preserve">-type) are comparable in performance, but Basis 1 requires more </w:t>
      </w:r>
      <w:r w:rsidRPr="00C46B22">
        <w:rPr>
          <w:b/>
          <w:i/>
        </w:rPr>
        <w:t>W</w:t>
      </w:r>
      <w:r w:rsidRPr="00C46B22">
        <w:rPr>
          <w:i/>
          <w:vertAlign w:val="subscript"/>
        </w:rPr>
        <w:t>1</w:t>
      </w:r>
      <w:r w:rsidRPr="00C46B22">
        <w:rPr>
          <w:i/>
        </w:rPr>
        <w:t xml:space="preserve"> reporting overhead (because of independent selection of </w:t>
      </w:r>
      <w:r w:rsidRPr="00C46B22">
        <w:rPr>
          <w:b/>
          <w:i/>
        </w:rPr>
        <w:t>B</w:t>
      </w:r>
      <w:r w:rsidRPr="00C46B22">
        <w:rPr>
          <w:i/>
          <w:vertAlign w:val="subscript"/>
        </w:rPr>
        <w:t>1</w:t>
      </w:r>
      <w:r w:rsidRPr="00C46B22">
        <w:rPr>
          <w:i/>
        </w:rPr>
        <w:t xml:space="preserve"> and </w:t>
      </w:r>
      <w:r w:rsidRPr="00C46B22">
        <w:rPr>
          <w:b/>
          <w:i/>
        </w:rPr>
        <w:t>B</w:t>
      </w:r>
      <w:r w:rsidRPr="00C46B22">
        <w:rPr>
          <w:i/>
          <w:vertAlign w:val="subscript"/>
        </w:rPr>
        <w:t>2</w:t>
      </w:r>
      <w:r w:rsidRPr="00C46B22">
        <w:rPr>
          <w:i/>
        </w:rPr>
        <w:t>) and has more selection complexity than Basis 0.</w:t>
      </w:r>
    </w:p>
    <w:p w14:paraId="6467596B" w14:textId="77777777" w:rsidR="001E07CB" w:rsidRPr="00C46B22" w:rsidRDefault="001E07CB" w:rsidP="001E07CB">
      <w:pPr>
        <w:pStyle w:val="ListParagraph"/>
        <w:numPr>
          <w:ilvl w:val="0"/>
          <w:numId w:val="34"/>
        </w:numPr>
        <w:ind w:leftChars="0" w:right="14"/>
        <w:rPr>
          <w:i/>
        </w:rPr>
      </w:pPr>
      <w:r>
        <w:rPr>
          <w:i/>
        </w:rPr>
        <w:t xml:space="preserve">Similar observations can be made with both </w:t>
      </w:r>
      <w:proofErr w:type="spellStart"/>
      <w:r>
        <w:rPr>
          <w:i/>
        </w:rPr>
        <w:t>unquantized</w:t>
      </w:r>
      <w:proofErr w:type="spellEnd"/>
      <w:r>
        <w:rPr>
          <w:i/>
        </w:rPr>
        <w:t xml:space="preserve"> and quantized amplitude and phase, and both WB and SB amplitude reporting.</w:t>
      </w:r>
    </w:p>
    <w:p w14:paraId="4806278A" w14:textId="77777777" w:rsidR="001E07CB" w:rsidRPr="007A0881" w:rsidRDefault="001E07CB" w:rsidP="001E07CB">
      <w:pPr>
        <w:ind w:right="14"/>
        <w:rPr>
          <w:i/>
        </w:rPr>
      </w:pPr>
      <w:r w:rsidRPr="007A0881">
        <w:rPr>
          <w:b/>
          <w:i/>
        </w:rPr>
        <w:t>Proposal 1</w:t>
      </w:r>
      <w:r>
        <w:rPr>
          <w:i/>
        </w:rPr>
        <w:t xml:space="preserve">: For Type II CSI reporting, support Basis 0 (2 partitions) as the </w:t>
      </w:r>
      <w:r w:rsidRPr="00522273">
        <w:rPr>
          <w:b/>
          <w:i/>
        </w:rPr>
        <w:t>W</w:t>
      </w:r>
      <w:r w:rsidRPr="00522273">
        <w:rPr>
          <w:i/>
          <w:vertAlign w:val="subscript"/>
        </w:rPr>
        <w:t>1</w:t>
      </w:r>
      <w:r>
        <w:rPr>
          <w:i/>
        </w:rPr>
        <w:t xml:space="preserve"> basis matrix.</w:t>
      </w:r>
    </w:p>
    <w:p w14:paraId="08593659" w14:textId="77777777" w:rsidR="001E07CB" w:rsidRPr="00CC5A99" w:rsidRDefault="001E07CB" w:rsidP="001E07CB">
      <w:pPr>
        <w:rPr>
          <w:b/>
          <w:i/>
        </w:rPr>
      </w:pPr>
      <w:r w:rsidRPr="001C759C">
        <w:rPr>
          <w:b/>
          <w:i/>
        </w:rPr>
        <w:t xml:space="preserve">Observation </w:t>
      </w:r>
      <w:r>
        <w:rPr>
          <w:b/>
          <w:i/>
        </w:rPr>
        <w:t>2</w:t>
      </w:r>
      <w:r w:rsidRPr="001C759C">
        <w:rPr>
          <w:b/>
          <w:i/>
        </w:rPr>
        <w:t>:</w:t>
      </w:r>
      <w:r>
        <w:rPr>
          <w:b/>
          <w:i/>
        </w:rPr>
        <w:t xml:space="preserve"> </w:t>
      </w:r>
      <w:r w:rsidRPr="00CC5A99">
        <w:rPr>
          <w:i/>
        </w:rPr>
        <w:t>Between four amplitude reporting types, amplitude type 3 (</w:t>
      </w:r>
      <w:r>
        <w:rPr>
          <w:i/>
        </w:rPr>
        <w:t>independent</w:t>
      </w:r>
      <w:r w:rsidRPr="00CC5A99">
        <w:rPr>
          <w:i/>
        </w:rPr>
        <w:t xml:space="preserve"> amplitude for two polarizations and two layers) shows significant performance gain</w:t>
      </w:r>
      <w:r>
        <w:rPr>
          <w:i/>
        </w:rPr>
        <w:t xml:space="preserve"> over amplitude types 0, 1, and 2 for both WB and SB amplitude reporting, and for both </w:t>
      </w:r>
      <w:proofErr w:type="spellStart"/>
      <w:r>
        <w:rPr>
          <w:i/>
        </w:rPr>
        <w:t>unquantized</w:t>
      </w:r>
      <w:proofErr w:type="spellEnd"/>
      <w:r>
        <w:rPr>
          <w:i/>
        </w:rPr>
        <w:t xml:space="preserve"> and quantized amplitude and phase.</w:t>
      </w:r>
    </w:p>
    <w:p w14:paraId="618696DF" w14:textId="77777777" w:rsidR="001E07CB" w:rsidRPr="00567366" w:rsidRDefault="001E07CB" w:rsidP="001E07CB">
      <w:pPr>
        <w:pStyle w:val="ListParagraph"/>
        <w:numPr>
          <w:ilvl w:val="0"/>
          <w:numId w:val="37"/>
        </w:numPr>
        <w:ind w:leftChars="0"/>
        <w:rPr>
          <w:i/>
        </w:rPr>
      </w:pPr>
      <w:r w:rsidRPr="00567366">
        <w:rPr>
          <w:i/>
        </w:rPr>
        <w:t>~10-12% and ~22-25% additional gain in avg. and 5% UPT, respectively with amplitude type 3 when compared with amplitude type 0, 1, and 2</w:t>
      </w:r>
    </w:p>
    <w:p w14:paraId="0B266CD2" w14:textId="77777777" w:rsidR="001E07CB" w:rsidRPr="00E74757" w:rsidRDefault="001E07CB" w:rsidP="001E07CB">
      <w:pPr>
        <w:ind w:right="14"/>
        <w:rPr>
          <w:i/>
        </w:rPr>
      </w:pPr>
      <w:r w:rsidRPr="00E74757">
        <w:rPr>
          <w:b/>
          <w:i/>
        </w:rPr>
        <w:t xml:space="preserve">Proposal </w:t>
      </w:r>
      <w:r>
        <w:rPr>
          <w:b/>
          <w:i/>
        </w:rPr>
        <w:t>2</w:t>
      </w:r>
      <w:r>
        <w:rPr>
          <w:i/>
        </w:rPr>
        <w:t>: For amplitude reporting, a</w:t>
      </w:r>
      <w:r w:rsidRPr="00CC5A99">
        <w:rPr>
          <w:i/>
        </w:rPr>
        <w:t>mplitude type 3 (</w:t>
      </w:r>
      <w:r>
        <w:rPr>
          <w:i/>
        </w:rPr>
        <w:t>independent</w:t>
      </w:r>
      <w:r w:rsidRPr="00CC5A99">
        <w:rPr>
          <w:i/>
        </w:rPr>
        <w:t xml:space="preserve"> amplitude for two polarizations and two layers)</w:t>
      </w:r>
      <w:r>
        <w:rPr>
          <w:i/>
        </w:rPr>
        <w:t xml:space="preserve"> is supported.  </w:t>
      </w:r>
    </w:p>
    <w:p w14:paraId="3D76F090" w14:textId="77777777" w:rsidR="001E07CB" w:rsidRDefault="001E07CB" w:rsidP="001E07CB">
      <w:pPr>
        <w:ind w:right="14"/>
        <w:rPr>
          <w:i/>
        </w:rPr>
      </w:pPr>
      <w:r w:rsidRPr="00167654">
        <w:rPr>
          <w:b/>
          <w:i/>
        </w:rPr>
        <w:t xml:space="preserve">Observation </w:t>
      </w:r>
      <w:r>
        <w:rPr>
          <w:b/>
          <w:i/>
        </w:rPr>
        <w:t>3</w:t>
      </w:r>
      <w:r w:rsidRPr="00167654">
        <w:rPr>
          <w:i/>
        </w:rPr>
        <w:t>:</w:t>
      </w:r>
      <w:r>
        <w:rPr>
          <w:i/>
        </w:rPr>
        <w:t xml:space="preserve"> </w:t>
      </w:r>
    </w:p>
    <w:p w14:paraId="16F7A5F2" w14:textId="2454F1C1" w:rsidR="001E07CB" w:rsidRDefault="001E07CB" w:rsidP="001E07CB">
      <w:pPr>
        <w:pStyle w:val="ListParagraph"/>
        <w:numPr>
          <w:ilvl w:val="0"/>
          <w:numId w:val="44"/>
        </w:numPr>
        <w:ind w:leftChars="0" w:right="14"/>
        <w:rPr>
          <w:i/>
        </w:rPr>
      </w:pPr>
      <w:r>
        <w:rPr>
          <w:i/>
        </w:rPr>
        <w:t xml:space="preserve">Although </w:t>
      </w:r>
      <w:r w:rsidRPr="00B4348A">
        <w:rPr>
          <w:i/>
        </w:rPr>
        <w:t>SB only amplitude reporting can achieve up to ~10% and ~23% additional gain in avg. and 5% UPT when compared with WB only amplitude reportin</w:t>
      </w:r>
      <w:r>
        <w:rPr>
          <w:i/>
        </w:rPr>
        <w:t xml:space="preserve">g, the total </w:t>
      </w:r>
      <w:r w:rsidRPr="00B4348A">
        <w:rPr>
          <w:i/>
        </w:rPr>
        <w:t>overhead increase is significant</w:t>
      </w:r>
      <w:r w:rsidR="00712022">
        <w:rPr>
          <w:i/>
        </w:rPr>
        <w:t xml:space="preserve">ly </w:t>
      </w:r>
      <w:r w:rsidR="00712022">
        <w:rPr>
          <w:i/>
        </w:rPr>
        <w:t>large</w:t>
      </w:r>
      <w:bookmarkStart w:id="14" w:name="_GoBack"/>
      <w:bookmarkEnd w:id="14"/>
      <w:r w:rsidRPr="00B4348A">
        <w:rPr>
          <w:i/>
        </w:rPr>
        <w:t>.</w:t>
      </w:r>
    </w:p>
    <w:p w14:paraId="35A60264" w14:textId="77777777" w:rsidR="001E07CB" w:rsidRPr="00B4348A" w:rsidRDefault="001E07CB" w:rsidP="001E07CB">
      <w:pPr>
        <w:pStyle w:val="ListParagraph"/>
        <w:numPr>
          <w:ilvl w:val="0"/>
          <w:numId w:val="44"/>
        </w:numPr>
        <w:ind w:leftChars="0" w:right="14"/>
        <w:rPr>
          <w:i/>
        </w:rPr>
      </w:pPr>
      <w:r>
        <w:rPr>
          <w:i/>
        </w:rPr>
        <w:t xml:space="preserve">On the other hand, WB+SB </w:t>
      </w:r>
      <w:r w:rsidRPr="00B4348A">
        <w:rPr>
          <w:i/>
        </w:rPr>
        <w:t>amplitude</w:t>
      </w:r>
      <w:r>
        <w:rPr>
          <w:i/>
        </w:rPr>
        <w:t xml:space="preserve"> reporting (with 1 bit SB amplitude) can achieve up to ~5% and ~16</w:t>
      </w:r>
      <w:r w:rsidRPr="00B4348A">
        <w:rPr>
          <w:i/>
        </w:rPr>
        <w:t>% additional gain in avg. and 5% UPT</w:t>
      </w:r>
      <w:r>
        <w:rPr>
          <w:i/>
        </w:rPr>
        <w:t xml:space="preserve"> </w:t>
      </w:r>
      <w:r w:rsidRPr="00B4348A">
        <w:rPr>
          <w:i/>
        </w:rPr>
        <w:t>when compared with WB only amplitude reporting</w:t>
      </w:r>
      <w:r>
        <w:rPr>
          <w:i/>
        </w:rPr>
        <w:t xml:space="preserve">, while keeping the total </w:t>
      </w:r>
      <w:r w:rsidRPr="00B4348A">
        <w:rPr>
          <w:i/>
        </w:rPr>
        <w:t xml:space="preserve">overhead increase </w:t>
      </w:r>
      <w:r>
        <w:rPr>
          <w:i/>
        </w:rPr>
        <w:t>reasonable</w:t>
      </w:r>
      <w:r w:rsidRPr="00B4348A">
        <w:rPr>
          <w:i/>
        </w:rPr>
        <w:t>.</w:t>
      </w:r>
    </w:p>
    <w:p w14:paraId="3AA3EAE4" w14:textId="3CB68920" w:rsidR="001E07CB" w:rsidRDefault="001E07CB" w:rsidP="001E07CB">
      <w:pPr>
        <w:pStyle w:val="2222"/>
        <w:spacing w:line="288" w:lineRule="auto"/>
        <w:ind w:firstLineChars="0" w:firstLine="0"/>
        <w:rPr>
          <w:lang w:eastAsia="ko-KR"/>
        </w:rPr>
      </w:pPr>
      <w:r w:rsidRPr="00167654">
        <w:rPr>
          <w:b/>
          <w:i/>
        </w:rPr>
        <w:lastRenderedPageBreak/>
        <w:t xml:space="preserve">Proposal </w:t>
      </w:r>
      <w:r>
        <w:rPr>
          <w:b/>
          <w:i/>
        </w:rPr>
        <w:t>3</w:t>
      </w:r>
      <w:r w:rsidRPr="00167654">
        <w:rPr>
          <w:i/>
        </w:rPr>
        <w:t xml:space="preserve">: </w:t>
      </w:r>
      <w:r>
        <w:rPr>
          <w:i/>
        </w:rPr>
        <w:t>WB + SB amplitude reporting (with 1-bit SB amplitude) is supported in Type II CSI codebook proposed in [4].</w:t>
      </w:r>
    </w:p>
    <w:p w14:paraId="2DCFEDE1" w14:textId="77777777" w:rsidR="000F762B" w:rsidRPr="00D04E23" w:rsidRDefault="000F762B" w:rsidP="00E81B5B">
      <w:pPr>
        <w:pStyle w:val="Heading1"/>
        <w:numPr>
          <w:ilvl w:val="0"/>
          <w:numId w:val="0"/>
        </w:numPr>
        <w:ind w:left="799" w:hanging="799"/>
      </w:pPr>
      <w:r w:rsidRPr="00D04E23">
        <w:rPr>
          <w:rFonts w:hint="eastAsia"/>
        </w:rPr>
        <w:t>Reference</w:t>
      </w:r>
      <w:r>
        <w:rPr>
          <w:rFonts w:hint="eastAsia"/>
        </w:rPr>
        <w:t>s</w:t>
      </w:r>
    </w:p>
    <w:p w14:paraId="6A89BEAB" w14:textId="77777777" w:rsidR="00C273E8" w:rsidRDefault="00C273E8" w:rsidP="00C273E8">
      <w:pPr>
        <w:pStyle w:val="ListParagraph"/>
        <w:numPr>
          <w:ilvl w:val="0"/>
          <w:numId w:val="5"/>
        </w:numPr>
        <w:ind w:leftChars="0"/>
        <w:rPr>
          <w:rFonts w:eastAsia="MS Mincho"/>
          <w:iCs/>
          <w:lang w:eastAsia="ja-JP"/>
        </w:rPr>
      </w:pPr>
      <w:bookmarkStart w:id="15" w:name="_Ref465786808"/>
      <w:r>
        <w:rPr>
          <w:rFonts w:eastAsia="MS Mincho"/>
          <w:iCs/>
          <w:lang w:eastAsia="ja-JP"/>
        </w:rPr>
        <w:t>RP-170855</w:t>
      </w:r>
      <w:r w:rsidRPr="00095C6F">
        <w:rPr>
          <w:rFonts w:eastAsia="MS Mincho"/>
          <w:iCs/>
          <w:lang w:eastAsia="ja-JP"/>
        </w:rPr>
        <w:t>, “</w:t>
      </w:r>
      <w:r w:rsidRPr="00727A94">
        <w:rPr>
          <w:rFonts w:eastAsia="MS Mincho"/>
          <w:iCs/>
          <w:lang w:eastAsia="ja-JP"/>
        </w:rPr>
        <w:t>New WID on New Radio Access Technology</w:t>
      </w:r>
      <w:r w:rsidRPr="00095C6F">
        <w:rPr>
          <w:rFonts w:eastAsia="MS Mincho"/>
          <w:iCs/>
          <w:lang w:eastAsia="ja-JP"/>
        </w:rPr>
        <w:t xml:space="preserve">,” </w:t>
      </w:r>
      <w:r>
        <w:rPr>
          <w:rFonts w:eastAsia="MS Mincho"/>
          <w:iCs/>
          <w:lang w:eastAsia="ja-JP"/>
        </w:rPr>
        <w:t>NTT DOCOMO Inc</w:t>
      </w:r>
      <w:r w:rsidRPr="00095C6F">
        <w:rPr>
          <w:rFonts w:eastAsia="MS Mincho"/>
          <w:iCs/>
          <w:lang w:eastAsia="ja-JP"/>
        </w:rPr>
        <w:t>.</w:t>
      </w:r>
    </w:p>
    <w:p w14:paraId="41648594" w14:textId="77777777" w:rsidR="00C273E8" w:rsidRPr="00030EAC" w:rsidRDefault="00C273E8" w:rsidP="00C273E8">
      <w:pPr>
        <w:pStyle w:val="2222"/>
        <w:numPr>
          <w:ilvl w:val="0"/>
          <w:numId w:val="5"/>
        </w:numPr>
        <w:spacing w:line="288" w:lineRule="auto"/>
        <w:ind w:left="357" w:firstLineChars="0" w:hanging="357"/>
        <w:rPr>
          <w:rFonts w:cs="Times New Roman"/>
          <w:lang w:val="en-US" w:eastAsia="ko-KR"/>
        </w:rPr>
      </w:pPr>
      <w:bookmarkStart w:id="16" w:name="_Ref458614461"/>
      <w:r w:rsidRPr="00030EAC">
        <w:rPr>
          <w:rFonts w:cs="Times New Roman"/>
          <w:lang w:val="en-US" w:eastAsia="ko-KR"/>
        </w:rPr>
        <w:t>3GPP, RAN1-NR#1, Chairman’s Notes</w:t>
      </w:r>
      <w:bookmarkEnd w:id="16"/>
    </w:p>
    <w:p w14:paraId="48656857" w14:textId="77777777" w:rsidR="00C273E8" w:rsidRDefault="00C273E8" w:rsidP="00C273E8">
      <w:pPr>
        <w:pStyle w:val="2222"/>
        <w:numPr>
          <w:ilvl w:val="0"/>
          <w:numId w:val="5"/>
        </w:numPr>
        <w:spacing w:line="288" w:lineRule="auto"/>
        <w:ind w:left="357" w:firstLineChars="0" w:hanging="357"/>
        <w:rPr>
          <w:rFonts w:cs="Times New Roman"/>
          <w:lang w:val="en-US" w:eastAsia="ko-KR"/>
        </w:rPr>
      </w:pPr>
      <w:r>
        <w:rPr>
          <w:rFonts w:cs="Times New Roman"/>
          <w:lang w:val="en-US" w:eastAsia="ko-KR"/>
        </w:rPr>
        <w:t>3GPP, RAN1#88</w:t>
      </w:r>
      <w:r w:rsidRPr="00030EAC">
        <w:rPr>
          <w:rFonts w:cs="Times New Roman"/>
          <w:lang w:val="en-US" w:eastAsia="ko-KR"/>
        </w:rPr>
        <w:t>, Chairman’s Notes</w:t>
      </w:r>
      <w:bookmarkEnd w:id="15"/>
    </w:p>
    <w:p w14:paraId="34E380A2" w14:textId="42DD1C22" w:rsidR="00DE038A" w:rsidRPr="00AC2327" w:rsidRDefault="00DE038A" w:rsidP="00DE038A">
      <w:pPr>
        <w:pStyle w:val="2222"/>
        <w:numPr>
          <w:ilvl w:val="0"/>
          <w:numId w:val="5"/>
        </w:numPr>
        <w:spacing w:before="0" w:line="288" w:lineRule="auto"/>
        <w:ind w:firstLineChars="0"/>
        <w:rPr>
          <w:rFonts w:cs="Times New Roman"/>
          <w:lang w:eastAsia="ko-KR"/>
        </w:rPr>
      </w:pPr>
      <w:r>
        <w:rPr>
          <w:rFonts w:cs="Times New Roman"/>
          <w:lang w:eastAsia="ko-KR"/>
        </w:rPr>
        <w:t>R1-1707962</w:t>
      </w:r>
      <w:r w:rsidRPr="00363723">
        <w:rPr>
          <w:rFonts w:cs="Times New Roman"/>
          <w:lang w:eastAsia="ko-KR"/>
        </w:rPr>
        <w:t xml:space="preserve">, </w:t>
      </w:r>
      <w:r>
        <w:rPr>
          <w:rFonts w:cs="Times New Roman"/>
          <w:lang w:eastAsia="ko-KR"/>
        </w:rPr>
        <w:t>“Type II CSI reporting,</w:t>
      </w:r>
      <w:r>
        <w:rPr>
          <w:rFonts w:eastAsia="Batang" w:cs="Times New Roman"/>
          <w:lang w:eastAsia="zh-CN"/>
        </w:rPr>
        <w:t>”</w:t>
      </w:r>
      <w:r w:rsidRPr="00363723">
        <w:rPr>
          <w:rFonts w:eastAsia="Batang" w:cs="Times New Roman"/>
          <w:lang w:eastAsia="zh-CN"/>
        </w:rPr>
        <w:t xml:space="preserve"> Samsung.</w:t>
      </w:r>
    </w:p>
    <w:p w14:paraId="6C0C74A3" w14:textId="61168A3A" w:rsidR="00DE038A" w:rsidRPr="00DE038A" w:rsidRDefault="00DE038A" w:rsidP="00DE038A">
      <w:pPr>
        <w:pStyle w:val="2222"/>
        <w:numPr>
          <w:ilvl w:val="0"/>
          <w:numId w:val="5"/>
        </w:numPr>
        <w:spacing w:before="0" w:line="288" w:lineRule="auto"/>
        <w:ind w:firstLineChars="0"/>
        <w:rPr>
          <w:rFonts w:cs="Times New Roman"/>
          <w:lang w:eastAsia="ko-KR"/>
        </w:rPr>
      </w:pPr>
      <w:r>
        <w:rPr>
          <w:rFonts w:cs="Times New Roman"/>
          <w:lang w:eastAsia="ko-KR"/>
        </w:rPr>
        <w:t>R1-1707964</w:t>
      </w:r>
      <w:r w:rsidRPr="00363723">
        <w:rPr>
          <w:rFonts w:cs="Times New Roman"/>
          <w:lang w:eastAsia="ko-KR"/>
        </w:rPr>
        <w:t xml:space="preserve">, </w:t>
      </w:r>
      <w:r>
        <w:rPr>
          <w:rFonts w:cs="Times New Roman"/>
          <w:lang w:eastAsia="ko-KR"/>
        </w:rPr>
        <w:t>“Differential Type II CSI reporting,</w:t>
      </w:r>
      <w:r>
        <w:rPr>
          <w:rFonts w:eastAsia="Batang" w:cs="Times New Roman"/>
          <w:lang w:eastAsia="zh-CN"/>
        </w:rPr>
        <w:t>”</w:t>
      </w:r>
      <w:r w:rsidRPr="00363723">
        <w:rPr>
          <w:rFonts w:eastAsia="Batang" w:cs="Times New Roman"/>
          <w:lang w:eastAsia="zh-CN"/>
        </w:rPr>
        <w:t xml:space="preserve"> Samsung.</w:t>
      </w:r>
    </w:p>
    <w:p w14:paraId="2745AFEA" w14:textId="77777777" w:rsidR="00A45156" w:rsidRPr="00D04E23" w:rsidRDefault="00A45156" w:rsidP="00A45156">
      <w:pPr>
        <w:pStyle w:val="Heading1"/>
        <w:numPr>
          <w:ilvl w:val="0"/>
          <w:numId w:val="0"/>
        </w:numPr>
        <w:ind w:left="799" w:hanging="799"/>
      </w:pPr>
      <w:r>
        <w:t xml:space="preserve">Appendix: Simulation Assumptions </w:t>
      </w:r>
    </w:p>
    <w:p w14:paraId="377A6C04" w14:textId="77777777" w:rsidR="00A45156" w:rsidRDefault="00A45156" w:rsidP="00A45156">
      <w:pPr>
        <w:pStyle w:val="Caption"/>
        <w:keepNext/>
        <w:jc w:val="center"/>
      </w:pPr>
      <w:bookmarkStart w:id="17" w:name="_Ref427254851"/>
      <w:bookmarkStart w:id="18" w:name="_Ref458526226"/>
      <w:r>
        <w:t xml:space="preserve">Table </w:t>
      </w:r>
      <w:r>
        <w:fldChar w:fldCharType="begin"/>
      </w:r>
      <w:r>
        <w:instrText xml:space="preserve"> SEQ Table \* ARABIC </w:instrText>
      </w:r>
      <w:r>
        <w:fldChar w:fldCharType="separate"/>
      </w:r>
      <w:r w:rsidR="008C5F20">
        <w:rPr>
          <w:noProof/>
        </w:rPr>
        <w:t>1</w:t>
      </w:r>
      <w:r>
        <w:fldChar w:fldCharType="end"/>
      </w:r>
      <w:bookmarkEnd w:id="17"/>
      <w:bookmarkEnd w:id="18"/>
      <w:r>
        <w:t>:</w:t>
      </w:r>
      <w:r w:rsidRPr="002D6D56">
        <w:rPr>
          <w:szCs w:val="22"/>
        </w:rPr>
        <w:t xml:space="preserve"> </w:t>
      </w:r>
      <w:r>
        <w:rPr>
          <w:szCs w:val="22"/>
        </w:rPr>
        <w:t>Simulation Parameters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98"/>
        <w:gridCol w:w="5631"/>
      </w:tblGrid>
      <w:tr w:rsidR="00A45156" w:rsidRPr="00FC3135" w14:paraId="72CBA8A7" w14:textId="77777777" w:rsidTr="00B4348A">
        <w:trPr>
          <w:trHeight w:val="63"/>
        </w:trPr>
        <w:tc>
          <w:tcPr>
            <w:tcW w:w="2076" w:type="pct"/>
            <w:shd w:val="clear" w:color="auto" w:fill="auto"/>
            <w:vAlign w:val="center"/>
            <w:hideMark/>
          </w:tcPr>
          <w:p w14:paraId="6E8E9E48" w14:textId="77777777" w:rsidR="00A45156" w:rsidRPr="002C1AFE" w:rsidRDefault="00A45156" w:rsidP="00A45156">
            <w:pPr>
              <w:spacing w:before="0" w:after="0" w:line="240" w:lineRule="auto"/>
              <w:jc w:val="center"/>
              <w:rPr>
                <w:rFonts w:eastAsia="Times New Roman"/>
                <w:b/>
                <w:sz w:val="21"/>
                <w:szCs w:val="36"/>
                <w:lang w:eastAsia="zh-TW"/>
              </w:rPr>
            </w:pPr>
            <w:r w:rsidRPr="002C1AFE">
              <w:rPr>
                <w:rFonts w:eastAsia="Arial"/>
                <w:b/>
                <w:bCs/>
                <w:kern w:val="24"/>
                <w:sz w:val="21"/>
                <w:szCs w:val="32"/>
                <w:lang w:eastAsia="zh-TW"/>
              </w:rPr>
              <w:t>Parameters</w:t>
            </w:r>
          </w:p>
        </w:tc>
        <w:tc>
          <w:tcPr>
            <w:tcW w:w="2924" w:type="pct"/>
            <w:shd w:val="clear" w:color="auto" w:fill="auto"/>
            <w:vAlign w:val="center"/>
            <w:hideMark/>
          </w:tcPr>
          <w:p w14:paraId="705B1F46" w14:textId="77777777" w:rsidR="00A45156" w:rsidRPr="002C1AFE" w:rsidRDefault="00A45156" w:rsidP="00A45156">
            <w:pPr>
              <w:spacing w:before="0" w:after="0" w:line="240" w:lineRule="auto"/>
              <w:jc w:val="center"/>
              <w:rPr>
                <w:rFonts w:eastAsia="Times New Roman"/>
                <w:b/>
                <w:sz w:val="21"/>
                <w:szCs w:val="36"/>
                <w:lang w:eastAsia="zh-TW"/>
              </w:rPr>
            </w:pPr>
            <w:r w:rsidRPr="002C1AFE">
              <w:rPr>
                <w:rFonts w:eastAsia="Arial"/>
                <w:b/>
                <w:bCs/>
                <w:kern w:val="24"/>
                <w:sz w:val="21"/>
                <w:szCs w:val="32"/>
                <w:lang w:eastAsia="zh-TW"/>
              </w:rPr>
              <w:t>Values</w:t>
            </w:r>
          </w:p>
        </w:tc>
      </w:tr>
      <w:tr w:rsidR="00A45156" w:rsidRPr="00FC3135" w14:paraId="6F1197A3" w14:textId="77777777" w:rsidTr="00B4348A">
        <w:trPr>
          <w:trHeight w:val="63"/>
        </w:trPr>
        <w:tc>
          <w:tcPr>
            <w:tcW w:w="2076" w:type="pct"/>
            <w:shd w:val="clear" w:color="auto" w:fill="auto"/>
            <w:vAlign w:val="center"/>
            <w:hideMark/>
          </w:tcPr>
          <w:p w14:paraId="0A1201FC" w14:textId="77777777" w:rsidR="00A45156" w:rsidRPr="002C1AFE" w:rsidRDefault="00A45156" w:rsidP="00A45156">
            <w:pPr>
              <w:spacing w:before="0" w:after="0" w:line="240" w:lineRule="auto"/>
              <w:jc w:val="center"/>
              <w:rPr>
                <w:rFonts w:eastAsia="Times New Roman"/>
                <w:sz w:val="21"/>
                <w:szCs w:val="36"/>
                <w:lang w:eastAsia="zh-TW"/>
              </w:rPr>
            </w:pPr>
            <w:r w:rsidRPr="002C1AFE">
              <w:rPr>
                <w:bCs/>
                <w:kern w:val="24"/>
                <w:sz w:val="21"/>
                <w:szCs w:val="32"/>
                <w:lang w:eastAsia="zh-TW"/>
              </w:rPr>
              <w:t>Simulation Type</w:t>
            </w:r>
          </w:p>
        </w:tc>
        <w:tc>
          <w:tcPr>
            <w:tcW w:w="2924" w:type="pct"/>
            <w:shd w:val="clear" w:color="auto" w:fill="auto"/>
            <w:vAlign w:val="center"/>
            <w:hideMark/>
          </w:tcPr>
          <w:p w14:paraId="6FE2E900" w14:textId="77777777" w:rsidR="00A45156" w:rsidRPr="002C1AFE" w:rsidRDefault="00A45156" w:rsidP="00A45156">
            <w:pPr>
              <w:spacing w:before="0" w:after="0" w:line="240" w:lineRule="auto"/>
              <w:jc w:val="center"/>
              <w:rPr>
                <w:rFonts w:eastAsia="Times New Roman"/>
                <w:sz w:val="21"/>
                <w:szCs w:val="36"/>
                <w:lang w:eastAsia="zh-TW"/>
              </w:rPr>
            </w:pPr>
            <w:r w:rsidRPr="002C1AFE">
              <w:rPr>
                <w:rFonts w:eastAsia="Arial"/>
                <w:kern w:val="24"/>
                <w:sz w:val="21"/>
                <w:szCs w:val="32"/>
                <w:lang w:eastAsia="zh-TW"/>
              </w:rPr>
              <w:t>Non-full-buffer (</w:t>
            </w:r>
            <w:r>
              <w:rPr>
                <w:rFonts w:eastAsia="Arial"/>
                <w:kern w:val="24"/>
                <w:sz w:val="21"/>
                <w:szCs w:val="32"/>
                <w:lang w:eastAsia="zh-TW"/>
              </w:rPr>
              <w:t>Medium load 5</w:t>
            </w:r>
            <w:r w:rsidRPr="002C1AFE">
              <w:rPr>
                <w:rFonts w:eastAsia="Arial"/>
                <w:kern w:val="24"/>
                <w:sz w:val="21"/>
                <w:szCs w:val="32"/>
                <w:lang w:eastAsia="zh-TW"/>
              </w:rPr>
              <w:t xml:space="preserve">0% </w:t>
            </w:r>
            <w:r>
              <w:rPr>
                <w:rFonts w:eastAsia="Arial"/>
                <w:kern w:val="24"/>
                <w:sz w:val="21"/>
                <w:szCs w:val="32"/>
                <w:lang w:eastAsia="zh-TW"/>
              </w:rPr>
              <w:t xml:space="preserve">Target </w:t>
            </w:r>
            <w:r w:rsidRPr="002C1AFE">
              <w:rPr>
                <w:rFonts w:eastAsia="Arial"/>
                <w:kern w:val="24"/>
                <w:sz w:val="21"/>
                <w:szCs w:val="32"/>
                <w:lang w:eastAsia="zh-TW"/>
              </w:rPr>
              <w:t>RU</w:t>
            </w:r>
            <w:r>
              <w:rPr>
                <w:rFonts w:eastAsia="Arial"/>
                <w:kern w:val="24"/>
                <w:sz w:val="21"/>
                <w:szCs w:val="32"/>
                <w:lang w:eastAsia="zh-TW"/>
              </w:rPr>
              <w:t>, Lambda = 4</w:t>
            </w:r>
            <w:r w:rsidRPr="002C1AFE">
              <w:rPr>
                <w:rFonts w:eastAsia="Arial"/>
                <w:kern w:val="24"/>
                <w:sz w:val="21"/>
                <w:szCs w:val="32"/>
                <w:lang w:eastAsia="zh-TW"/>
              </w:rPr>
              <w:t>)</w:t>
            </w:r>
          </w:p>
        </w:tc>
      </w:tr>
      <w:tr w:rsidR="00A45156" w:rsidRPr="00FC3135" w14:paraId="6C0D1491" w14:textId="77777777" w:rsidTr="00B4348A">
        <w:trPr>
          <w:trHeight w:val="63"/>
        </w:trPr>
        <w:tc>
          <w:tcPr>
            <w:tcW w:w="2076" w:type="pct"/>
            <w:shd w:val="clear" w:color="auto" w:fill="auto"/>
            <w:vAlign w:val="center"/>
            <w:hideMark/>
          </w:tcPr>
          <w:p w14:paraId="10F34520" w14:textId="77777777" w:rsidR="00A45156" w:rsidRPr="002C1AFE" w:rsidRDefault="00A45156" w:rsidP="00A45156">
            <w:pPr>
              <w:spacing w:before="0" w:after="0" w:line="240" w:lineRule="auto"/>
              <w:jc w:val="center"/>
              <w:rPr>
                <w:rFonts w:eastAsia="Times New Roman"/>
                <w:sz w:val="21"/>
                <w:szCs w:val="36"/>
                <w:lang w:eastAsia="zh-TW"/>
              </w:rPr>
            </w:pPr>
            <w:r w:rsidRPr="002C1AFE">
              <w:rPr>
                <w:rFonts w:eastAsia="Arial"/>
                <w:bCs/>
                <w:kern w:val="24"/>
                <w:sz w:val="21"/>
                <w:szCs w:val="32"/>
                <w:lang w:eastAsia="zh-TW"/>
              </w:rPr>
              <w:t>Channel model</w:t>
            </w:r>
          </w:p>
        </w:tc>
        <w:tc>
          <w:tcPr>
            <w:tcW w:w="2924" w:type="pct"/>
            <w:shd w:val="clear" w:color="auto" w:fill="auto"/>
            <w:vAlign w:val="center"/>
            <w:hideMark/>
          </w:tcPr>
          <w:p w14:paraId="5FAF884E" w14:textId="77777777" w:rsidR="00A45156" w:rsidRPr="002C1AFE" w:rsidRDefault="00A45156" w:rsidP="00A45156">
            <w:pPr>
              <w:spacing w:before="0" w:after="0" w:line="240" w:lineRule="auto"/>
              <w:jc w:val="center"/>
              <w:rPr>
                <w:rFonts w:eastAsia="Times New Roman"/>
                <w:sz w:val="21"/>
                <w:szCs w:val="36"/>
                <w:lang w:eastAsia="zh-TW"/>
              </w:rPr>
            </w:pPr>
            <w:r w:rsidRPr="002C1AFE">
              <w:rPr>
                <w:rFonts w:eastAsia="Arial"/>
                <w:kern w:val="24"/>
                <w:sz w:val="21"/>
                <w:szCs w:val="32"/>
                <w:lang w:eastAsia="zh-TW"/>
              </w:rPr>
              <w:t>UMi-2GHz</w:t>
            </w:r>
          </w:p>
        </w:tc>
      </w:tr>
      <w:tr w:rsidR="00A45156" w:rsidRPr="00FC3135" w14:paraId="308ECB6C" w14:textId="77777777" w:rsidTr="00B4348A">
        <w:trPr>
          <w:trHeight w:val="63"/>
        </w:trPr>
        <w:tc>
          <w:tcPr>
            <w:tcW w:w="2076" w:type="pct"/>
            <w:shd w:val="clear" w:color="auto" w:fill="auto"/>
            <w:vAlign w:val="center"/>
            <w:hideMark/>
          </w:tcPr>
          <w:p w14:paraId="4CDADEA9" w14:textId="77777777" w:rsidR="00A45156" w:rsidRPr="002C1AFE" w:rsidRDefault="00A45156" w:rsidP="00A45156">
            <w:pPr>
              <w:spacing w:before="0" w:after="0" w:line="240" w:lineRule="auto"/>
              <w:jc w:val="center"/>
              <w:rPr>
                <w:rFonts w:eastAsia="Times New Roman"/>
                <w:sz w:val="21"/>
                <w:szCs w:val="36"/>
                <w:lang w:eastAsia="zh-TW"/>
              </w:rPr>
            </w:pPr>
            <w:r w:rsidRPr="002C1AFE">
              <w:rPr>
                <w:rFonts w:eastAsia="Arial"/>
                <w:bCs/>
                <w:kern w:val="24"/>
                <w:sz w:val="21"/>
                <w:szCs w:val="32"/>
                <w:lang w:eastAsia="zh-TW"/>
              </w:rPr>
              <w:t>Number of BS (H,V) antenna elements</w:t>
            </w:r>
          </w:p>
        </w:tc>
        <w:tc>
          <w:tcPr>
            <w:tcW w:w="2924" w:type="pct"/>
            <w:shd w:val="clear" w:color="auto" w:fill="auto"/>
            <w:vAlign w:val="center"/>
            <w:hideMark/>
          </w:tcPr>
          <w:p w14:paraId="039CC719" w14:textId="77777777" w:rsidR="00A45156" w:rsidRPr="002C1AFE" w:rsidRDefault="00A45156" w:rsidP="00A45156">
            <w:pPr>
              <w:spacing w:before="0" w:after="0" w:line="240" w:lineRule="auto"/>
              <w:jc w:val="center"/>
              <w:rPr>
                <w:rFonts w:eastAsia="Times New Roman"/>
                <w:sz w:val="21"/>
                <w:szCs w:val="36"/>
                <w:lang w:eastAsia="zh-TW"/>
              </w:rPr>
            </w:pPr>
            <w:r w:rsidRPr="002C1AFE">
              <w:rPr>
                <w:rFonts w:eastAsia="Arial"/>
                <w:kern w:val="24"/>
                <w:sz w:val="21"/>
                <w:szCs w:val="32"/>
                <w:lang w:eastAsia="zh-TW"/>
              </w:rPr>
              <w:t>(8,8), x-polarized, subarray partition</w:t>
            </w:r>
          </w:p>
        </w:tc>
      </w:tr>
      <w:tr w:rsidR="00A45156" w:rsidRPr="00FC3135" w14:paraId="20119D0F" w14:textId="77777777" w:rsidTr="00B4348A">
        <w:trPr>
          <w:trHeight w:val="63"/>
        </w:trPr>
        <w:tc>
          <w:tcPr>
            <w:tcW w:w="2076" w:type="pct"/>
            <w:shd w:val="clear" w:color="auto" w:fill="auto"/>
            <w:vAlign w:val="center"/>
            <w:hideMark/>
          </w:tcPr>
          <w:p w14:paraId="711EB0B1" w14:textId="77777777" w:rsidR="00A45156" w:rsidRPr="002C1AFE" w:rsidRDefault="00A45156" w:rsidP="00A45156">
            <w:pPr>
              <w:spacing w:before="0" w:after="0" w:line="240" w:lineRule="auto"/>
              <w:jc w:val="center"/>
              <w:rPr>
                <w:rFonts w:eastAsia="Times New Roman"/>
                <w:sz w:val="21"/>
                <w:szCs w:val="36"/>
                <w:lang w:eastAsia="zh-TW"/>
              </w:rPr>
            </w:pPr>
            <w:r w:rsidRPr="002C1AFE">
              <w:rPr>
                <w:rFonts w:eastAsia="Arial"/>
                <w:bCs/>
                <w:kern w:val="24"/>
                <w:sz w:val="21"/>
                <w:szCs w:val="32"/>
                <w:lang w:eastAsia="zh-TW"/>
              </w:rPr>
              <w:t>(</w:t>
            </w:r>
            <w:r w:rsidRPr="00B313D8">
              <w:rPr>
                <w:rFonts w:eastAsia="Arial"/>
                <w:bCs/>
                <w:i/>
                <w:kern w:val="24"/>
                <w:sz w:val="21"/>
                <w:szCs w:val="32"/>
                <w:lang w:eastAsia="zh-TW"/>
              </w:rPr>
              <w:t>N</w:t>
            </w:r>
            <w:r w:rsidRPr="00B313D8">
              <w:rPr>
                <w:rFonts w:eastAsia="Arial"/>
                <w:bCs/>
                <w:kern w:val="24"/>
                <w:sz w:val="21"/>
                <w:szCs w:val="32"/>
                <w:vertAlign w:val="subscript"/>
                <w:lang w:eastAsia="zh-TW"/>
              </w:rPr>
              <w:t>1</w:t>
            </w:r>
            <w:r>
              <w:rPr>
                <w:rFonts w:eastAsia="Arial"/>
                <w:bCs/>
                <w:kern w:val="24"/>
                <w:sz w:val="21"/>
                <w:szCs w:val="32"/>
                <w:lang w:eastAsia="zh-TW"/>
              </w:rPr>
              <w:t>,</w:t>
            </w:r>
            <w:r w:rsidRPr="00B313D8">
              <w:rPr>
                <w:rFonts w:eastAsia="Arial"/>
                <w:bCs/>
                <w:i/>
                <w:kern w:val="24"/>
                <w:sz w:val="21"/>
                <w:szCs w:val="32"/>
                <w:lang w:eastAsia="zh-TW"/>
              </w:rPr>
              <w:t>N</w:t>
            </w:r>
            <w:r w:rsidRPr="00B313D8">
              <w:rPr>
                <w:rFonts w:eastAsia="Arial"/>
                <w:bCs/>
                <w:kern w:val="24"/>
                <w:sz w:val="21"/>
                <w:szCs w:val="32"/>
                <w:vertAlign w:val="subscript"/>
                <w:lang w:eastAsia="zh-TW"/>
              </w:rPr>
              <w:t>2</w:t>
            </w:r>
            <w:r w:rsidRPr="002C1AFE">
              <w:rPr>
                <w:rFonts w:eastAsia="Arial"/>
                <w:bCs/>
                <w:kern w:val="24"/>
                <w:sz w:val="21"/>
                <w:szCs w:val="32"/>
                <w:lang w:eastAsia="zh-TW"/>
              </w:rPr>
              <w:t xml:space="preserve">, P) </w:t>
            </w:r>
          </w:p>
        </w:tc>
        <w:tc>
          <w:tcPr>
            <w:tcW w:w="2924" w:type="pct"/>
            <w:shd w:val="clear" w:color="auto" w:fill="auto"/>
            <w:vAlign w:val="center"/>
            <w:hideMark/>
          </w:tcPr>
          <w:p w14:paraId="416D7AED" w14:textId="77777777" w:rsidR="00A45156" w:rsidRPr="002C1AFE" w:rsidRDefault="00A45156" w:rsidP="00A45156">
            <w:pPr>
              <w:spacing w:before="0" w:after="0" w:line="240" w:lineRule="auto"/>
              <w:jc w:val="center"/>
              <w:rPr>
                <w:rFonts w:eastAsia="Times New Roman"/>
                <w:sz w:val="21"/>
                <w:szCs w:val="36"/>
                <w:lang w:eastAsia="zh-TW"/>
              </w:rPr>
            </w:pPr>
            <w:r>
              <w:rPr>
                <w:rFonts w:eastAsia="Arial"/>
                <w:kern w:val="24"/>
                <w:sz w:val="21"/>
                <w:szCs w:val="32"/>
                <w:lang w:eastAsia="zh-TW"/>
              </w:rPr>
              <w:t>16</w:t>
            </w:r>
            <w:r w:rsidRPr="0069181E">
              <w:rPr>
                <w:rFonts w:eastAsia="Arial"/>
                <w:kern w:val="24"/>
                <w:sz w:val="21"/>
                <w:szCs w:val="32"/>
                <w:lang w:eastAsia="zh-TW"/>
              </w:rPr>
              <w:t xml:space="preserve"> </w:t>
            </w:r>
            <w:r>
              <w:rPr>
                <w:rFonts w:eastAsia="Arial"/>
                <w:kern w:val="24"/>
                <w:sz w:val="21"/>
                <w:szCs w:val="32"/>
                <w:lang w:eastAsia="zh-TW"/>
              </w:rPr>
              <w:t xml:space="preserve">ports: (4,2,2) </w:t>
            </w:r>
          </w:p>
        </w:tc>
      </w:tr>
      <w:tr w:rsidR="00A45156" w:rsidRPr="00FC3135" w14:paraId="4BAA3831" w14:textId="77777777" w:rsidTr="00B4348A">
        <w:trPr>
          <w:trHeight w:val="63"/>
        </w:trPr>
        <w:tc>
          <w:tcPr>
            <w:tcW w:w="2076" w:type="pct"/>
            <w:shd w:val="clear" w:color="auto" w:fill="auto"/>
            <w:vAlign w:val="center"/>
          </w:tcPr>
          <w:p w14:paraId="5EC2FC73" w14:textId="77777777" w:rsidR="00A45156" w:rsidRPr="002C1AFE" w:rsidRDefault="00A45156" w:rsidP="00A45156">
            <w:pPr>
              <w:spacing w:before="0" w:after="0" w:line="240" w:lineRule="auto"/>
              <w:jc w:val="center"/>
              <w:rPr>
                <w:rFonts w:eastAsia="Arial"/>
                <w:bCs/>
                <w:kern w:val="24"/>
                <w:sz w:val="21"/>
                <w:szCs w:val="32"/>
                <w:lang w:eastAsia="zh-TW"/>
              </w:rPr>
            </w:pPr>
            <w:r>
              <w:rPr>
                <w:rFonts w:eastAsia="Arial"/>
                <w:kern w:val="24"/>
                <w:sz w:val="21"/>
                <w:szCs w:val="32"/>
                <w:lang w:eastAsia="zh-TW"/>
              </w:rPr>
              <w:t>(</w:t>
            </w:r>
            <w:r w:rsidRPr="00ED3E93">
              <w:rPr>
                <w:rFonts w:eastAsia="Arial"/>
                <w:i/>
                <w:kern w:val="24"/>
                <w:sz w:val="21"/>
                <w:szCs w:val="32"/>
                <w:lang w:eastAsia="zh-TW"/>
              </w:rPr>
              <w:t>O</w:t>
            </w:r>
            <w:r w:rsidRPr="00ED3E93">
              <w:rPr>
                <w:rFonts w:eastAsia="Arial"/>
                <w:kern w:val="24"/>
                <w:sz w:val="21"/>
                <w:szCs w:val="32"/>
                <w:vertAlign w:val="subscript"/>
                <w:lang w:eastAsia="zh-TW"/>
              </w:rPr>
              <w:t>1</w:t>
            </w:r>
            <w:r>
              <w:rPr>
                <w:rFonts w:eastAsia="Arial"/>
                <w:kern w:val="24"/>
                <w:sz w:val="21"/>
                <w:szCs w:val="32"/>
                <w:lang w:eastAsia="zh-TW"/>
              </w:rPr>
              <w:t>,</w:t>
            </w:r>
            <w:r w:rsidRPr="00ED3E93">
              <w:rPr>
                <w:rFonts w:eastAsia="Arial"/>
                <w:i/>
                <w:kern w:val="24"/>
                <w:sz w:val="21"/>
                <w:szCs w:val="32"/>
                <w:lang w:eastAsia="zh-TW"/>
              </w:rPr>
              <w:t>O</w:t>
            </w:r>
            <w:r w:rsidRPr="00ED3E93">
              <w:rPr>
                <w:rFonts w:eastAsia="Arial"/>
                <w:kern w:val="24"/>
                <w:sz w:val="21"/>
                <w:szCs w:val="32"/>
                <w:vertAlign w:val="subscript"/>
                <w:lang w:eastAsia="zh-TW"/>
              </w:rPr>
              <w:t>2</w:t>
            </w:r>
            <w:r>
              <w:rPr>
                <w:rFonts w:eastAsia="Arial"/>
                <w:kern w:val="24"/>
                <w:sz w:val="21"/>
                <w:szCs w:val="32"/>
                <w:lang w:eastAsia="zh-TW"/>
              </w:rPr>
              <w:t xml:space="preserve">) </w:t>
            </w:r>
          </w:p>
        </w:tc>
        <w:tc>
          <w:tcPr>
            <w:tcW w:w="2924" w:type="pct"/>
            <w:shd w:val="clear" w:color="auto" w:fill="auto"/>
            <w:vAlign w:val="center"/>
          </w:tcPr>
          <w:p w14:paraId="795BA3DC" w14:textId="77777777" w:rsidR="00A45156" w:rsidRPr="0069181E" w:rsidRDefault="00A45156" w:rsidP="00A45156">
            <w:pPr>
              <w:spacing w:before="0" w:after="0" w:line="240" w:lineRule="auto"/>
              <w:jc w:val="center"/>
              <w:rPr>
                <w:rFonts w:eastAsia="Arial"/>
                <w:kern w:val="24"/>
                <w:sz w:val="21"/>
                <w:szCs w:val="32"/>
                <w:lang w:eastAsia="zh-TW"/>
              </w:rPr>
            </w:pPr>
            <w:r>
              <w:rPr>
                <w:rFonts w:eastAsia="Arial"/>
                <w:kern w:val="24"/>
                <w:sz w:val="21"/>
                <w:szCs w:val="32"/>
                <w:lang w:eastAsia="zh-TW"/>
              </w:rPr>
              <w:t>(8,8)</w:t>
            </w:r>
          </w:p>
        </w:tc>
      </w:tr>
      <w:tr w:rsidR="00A45156" w:rsidRPr="00FC3135" w14:paraId="2BC30FC3" w14:textId="77777777" w:rsidTr="00B4348A">
        <w:trPr>
          <w:trHeight w:val="63"/>
        </w:trPr>
        <w:tc>
          <w:tcPr>
            <w:tcW w:w="2076" w:type="pct"/>
            <w:shd w:val="clear" w:color="auto" w:fill="auto"/>
            <w:vAlign w:val="center"/>
            <w:hideMark/>
          </w:tcPr>
          <w:p w14:paraId="5C3A80A6" w14:textId="77777777" w:rsidR="00A45156" w:rsidRPr="002C1AFE" w:rsidRDefault="00A45156" w:rsidP="00A45156">
            <w:pPr>
              <w:spacing w:before="0" w:after="0" w:line="240" w:lineRule="auto"/>
              <w:jc w:val="center"/>
              <w:rPr>
                <w:rFonts w:eastAsia="Times New Roman"/>
                <w:sz w:val="21"/>
                <w:szCs w:val="36"/>
                <w:lang w:eastAsia="zh-TW"/>
              </w:rPr>
            </w:pPr>
            <w:r w:rsidRPr="002C1AFE">
              <w:rPr>
                <w:rFonts w:eastAsia="Arial"/>
                <w:bCs/>
                <w:kern w:val="24"/>
                <w:sz w:val="21"/>
                <w:szCs w:val="32"/>
                <w:lang w:eastAsia="zh-TW"/>
              </w:rPr>
              <w:t>BS (H,V) antenna spacing</w:t>
            </w:r>
          </w:p>
        </w:tc>
        <w:tc>
          <w:tcPr>
            <w:tcW w:w="2924" w:type="pct"/>
            <w:shd w:val="clear" w:color="auto" w:fill="auto"/>
            <w:vAlign w:val="center"/>
            <w:hideMark/>
          </w:tcPr>
          <w:p w14:paraId="4B6639C5" w14:textId="77777777" w:rsidR="00A45156" w:rsidRPr="002C1AFE" w:rsidRDefault="00A45156" w:rsidP="00A45156">
            <w:pPr>
              <w:spacing w:before="0" w:after="0" w:line="240" w:lineRule="auto"/>
              <w:jc w:val="center"/>
              <w:rPr>
                <w:rFonts w:eastAsia="Times New Roman"/>
                <w:sz w:val="21"/>
                <w:szCs w:val="36"/>
                <w:lang w:eastAsia="zh-TW"/>
              </w:rPr>
            </w:pPr>
            <w:r w:rsidRPr="002C1AFE">
              <w:rPr>
                <w:rFonts w:eastAsia="Arial"/>
                <w:kern w:val="24"/>
                <w:sz w:val="21"/>
                <w:szCs w:val="32"/>
                <w:lang w:eastAsia="zh-TW"/>
              </w:rPr>
              <w:t>(0.5, 0.8)λ</w:t>
            </w:r>
          </w:p>
        </w:tc>
      </w:tr>
      <w:tr w:rsidR="00A45156" w:rsidRPr="00FC3135" w14:paraId="7E2A7522" w14:textId="77777777" w:rsidTr="00B4348A">
        <w:trPr>
          <w:trHeight w:val="63"/>
        </w:trPr>
        <w:tc>
          <w:tcPr>
            <w:tcW w:w="2076" w:type="pct"/>
            <w:shd w:val="clear" w:color="auto" w:fill="auto"/>
            <w:vAlign w:val="center"/>
            <w:hideMark/>
          </w:tcPr>
          <w:p w14:paraId="75407378" w14:textId="77777777" w:rsidR="00A45156" w:rsidRPr="002C1AFE" w:rsidRDefault="00A45156" w:rsidP="00A45156">
            <w:pPr>
              <w:spacing w:before="0" w:after="0" w:line="240" w:lineRule="auto"/>
              <w:jc w:val="center"/>
              <w:rPr>
                <w:rFonts w:eastAsia="Times New Roman"/>
                <w:sz w:val="21"/>
                <w:szCs w:val="36"/>
                <w:lang w:eastAsia="zh-TW"/>
              </w:rPr>
            </w:pPr>
            <w:r w:rsidRPr="002C1AFE">
              <w:rPr>
                <w:rFonts w:eastAsia="Arial"/>
                <w:bCs/>
                <w:kern w:val="24"/>
                <w:sz w:val="21"/>
                <w:szCs w:val="32"/>
                <w:lang w:eastAsia="zh-TW"/>
              </w:rPr>
              <w:t>BS and MS antenna polarizations</w:t>
            </w:r>
          </w:p>
        </w:tc>
        <w:tc>
          <w:tcPr>
            <w:tcW w:w="2924" w:type="pct"/>
            <w:shd w:val="clear" w:color="auto" w:fill="auto"/>
            <w:vAlign w:val="center"/>
            <w:hideMark/>
          </w:tcPr>
          <w:p w14:paraId="449AB54F" w14:textId="77777777" w:rsidR="00A45156" w:rsidRPr="002C1AFE" w:rsidRDefault="00A45156" w:rsidP="00A45156">
            <w:pPr>
              <w:spacing w:before="0" w:after="0" w:line="240" w:lineRule="auto"/>
              <w:jc w:val="center"/>
              <w:rPr>
                <w:rFonts w:eastAsia="Times New Roman"/>
                <w:sz w:val="21"/>
                <w:szCs w:val="36"/>
                <w:lang w:eastAsia="zh-TW"/>
              </w:rPr>
            </w:pPr>
            <w:r w:rsidRPr="002C1AFE">
              <w:rPr>
                <w:rFonts w:eastAsia="Arial"/>
                <w:kern w:val="24"/>
                <w:sz w:val="21"/>
                <w:szCs w:val="32"/>
                <w:lang w:eastAsia="zh-TW"/>
              </w:rPr>
              <w:t>BS: (+45°,-45°); MS: (0°, 90°)</w:t>
            </w:r>
          </w:p>
        </w:tc>
      </w:tr>
      <w:tr w:rsidR="00A45156" w:rsidRPr="00FC3135" w14:paraId="20C80CC6" w14:textId="77777777" w:rsidTr="00B4348A">
        <w:trPr>
          <w:trHeight w:val="63"/>
        </w:trPr>
        <w:tc>
          <w:tcPr>
            <w:tcW w:w="2076" w:type="pct"/>
            <w:shd w:val="clear" w:color="auto" w:fill="auto"/>
            <w:vAlign w:val="center"/>
            <w:hideMark/>
          </w:tcPr>
          <w:p w14:paraId="3DDC8699" w14:textId="77777777" w:rsidR="00A45156" w:rsidRPr="002C1AFE" w:rsidRDefault="00A45156" w:rsidP="00A45156">
            <w:pPr>
              <w:spacing w:before="0" w:after="0" w:line="240" w:lineRule="auto"/>
              <w:jc w:val="center"/>
              <w:rPr>
                <w:rFonts w:eastAsia="Times New Roman"/>
                <w:sz w:val="21"/>
                <w:szCs w:val="36"/>
                <w:lang w:eastAsia="zh-TW"/>
              </w:rPr>
            </w:pPr>
            <w:r w:rsidRPr="002C1AFE">
              <w:rPr>
                <w:rFonts w:eastAsia="Arial"/>
                <w:bCs/>
                <w:kern w:val="24"/>
                <w:sz w:val="21"/>
                <w:szCs w:val="32"/>
                <w:lang w:eastAsia="zh-TW"/>
              </w:rPr>
              <w:t>Number of UE antennas</w:t>
            </w:r>
          </w:p>
        </w:tc>
        <w:tc>
          <w:tcPr>
            <w:tcW w:w="2924" w:type="pct"/>
            <w:shd w:val="clear" w:color="auto" w:fill="auto"/>
            <w:vAlign w:val="center"/>
            <w:hideMark/>
          </w:tcPr>
          <w:p w14:paraId="50246F20" w14:textId="77777777" w:rsidR="00A45156" w:rsidRPr="002C1AFE" w:rsidRDefault="00A45156" w:rsidP="00A45156">
            <w:pPr>
              <w:spacing w:before="0" w:after="0" w:line="240" w:lineRule="auto"/>
              <w:jc w:val="center"/>
              <w:rPr>
                <w:rFonts w:eastAsia="Times New Roman"/>
                <w:sz w:val="21"/>
                <w:szCs w:val="36"/>
                <w:lang w:eastAsia="zh-TW"/>
              </w:rPr>
            </w:pPr>
            <w:r w:rsidRPr="002C1AFE">
              <w:rPr>
                <w:rFonts w:eastAsia="Arial"/>
                <w:kern w:val="24"/>
                <w:sz w:val="21"/>
                <w:szCs w:val="32"/>
                <w:lang w:eastAsia="zh-TW"/>
              </w:rPr>
              <w:t>2</w:t>
            </w:r>
          </w:p>
        </w:tc>
      </w:tr>
      <w:tr w:rsidR="00A45156" w:rsidRPr="00FC3135" w14:paraId="100FF4E1" w14:textId="77777777" w:rsidTr="00B4348A">
        <w:trPr>
          <w:trHeight w:val="63"/>
        </w:trPr>
        <w:tc>
          <w:tcPr>
            <w:tcW w:w="2076" w:type="pct"/>
            <w:shd w:val="clear" w:color="auto" w:fill="auto"/>
            <w:vAlign w:val="center"/>
            <w:hideMark/>
          </w:tcPr>
          <w:p w14:paraId="359EBBDB" w14:textId="77777777" w:rsidR="00A45156" w:rsidRPr="002C1AFE" w:rsidRDefault="00A45156" w:rsidP="00A45156">
            <w:pPr>
              <w:spacing w:before="0" w:after="0" w:line="240" w:lineRule="auto"/>
              <w:jc w:val="center"/>
              <w:rPr>
                <w:rFonts w:eastAsia="Times New Roman"/>
                <w:sz w:val="21"/>
                <w:szCs w:val="36"/>
                <w:lang w:eastAsia="zh-TW"/>
              </w:rPr>
            </w:pPr>
            <w:r>
              <w:rPr>
                <w:rFonts w:eastAsia="Arial"/>
                <w:bCs/>
                <w:kern w:val="24"/>
                <w:sz w:val="21"/>
                <w:szCs w:val="32"/>
                <w:lang w:eastAsia="zh-TW"/>
              </w:rPr>
              <w:t>SU/</w:t>
            </w:r>
            <w:r w:rsidRPr="002C1AFE">
              <w:rPr>
                <w:rFonts w:eastAsia="Arial"/>
                <w:bCs/>
                <w:kern w:val="24"/>
                <w:sz w:val="21"/>
                <w:szCs w:val="32"/>
                <w:lang w:eastAsia="zh-TW"/>
              </w:rPr>
              <w:t>MU pre-coding</w:t>
            </w:r>
          </w:p>
        </w:tc>
        <w:tc>
          <w:tcPr>
            <w:tcW w:w="2924" w:type="pct"/>
            <w:shd w:val="clear" w:color="auto" w:fill="auto"/>
            <w:vAlign w:val="center"/>
            <w:hideMark/>
          </w:tcPr>
          <w:p w14:paraId="259995AE" w14:textId="77777777" w:rsidR="00A45156" w:rsidRPr="002C1AFE" w:rsidRDefault="00A45156" w:rsidP="00A45156">
            <w:pPr>
              <w:spacing w:before="0" w:after="0" w:line="240" w:lineRule="auto"/>
              <w:jc w:val="center"/>
              <w:rPr>
                <w:rFonts w:eastAsia="Times New Roman"/>
                <w:sz w:val="21"/>
                <w:szCs w:val="36"/>
                <w:lang w:eastAsia="zh-TW"/>
              </w:rPr>
            </w:pPr>
            <w:r w:rsidRPr="002C1AFE">
              <w:rPr>
                <w:rFonts w:eastAsia="Arial"/>
                <w:kern w:val="24"/>
                <w:sz w:val="21"/>
                <w:szCs w:val="32"/>
                <w:lang w:eastAsia="zh-TW"/>
              </w:rPr>
              <w:t>SLNR</w:t>
            </w:r>
          </w:p>
        </w:tc>
      </w:tr>
      <w:tr w:rsidR="00A45156" w:rsidRPr="00FC3135" w14:paraId="0E0565BA" w14:textId="77777777" w:rsidTr="00B4348A">
        <w:trPr>
          <w:trHeight w:val="63"/>
        </w:trPr>
        <w:tc>
          <w:tcPr>
            <w:tcW w:w="2076" w:type="pct"/>
            <w:shd w:val="clear" w:color="auto" w:fill="auto"/>
            <w:vAlign w:val="center"/>
            <w:hideMark/>
          </w:tcPr>
          <w:p w14:paraId="4F3205D9" w14:textId="77777777" w:rsidR="00A45156" w:rsidRPr="002C1AFE" w:rsidRDefault="00A45156" w:rsidP="00A45156">
            <w:pPr>
              <w:spacing w:before="0" w:after="0" w:line="240" w:lineRule="auto"/>
              <w:jc w:val="center"/>
              <w:rPr>
                <w:rFonts w:eastAsia="Times New Roman"/>
                <w:sz w:val="21"/>
                <w:szCs w:val="36"/>
                <w:lang w:eastAsia="zh-TW"/>
              </w:rPr>
            </w:pPr>
            <w:r w:rsidRPr="002C1AFE">
              <w:rPr>
                <w:rFonts w:eastAsia="Arial"/>
                <w:bCs/>
                <w:kern w:val="24"/>
                <w:sz w:val="21"/>
                <w:szCs w:val="32"/>
                <w:lang w:eastAsia="zh-TW"/>
              </w:rPr>
              <w:t>Scheduling</w:t>
            </w:r>
          </w:p>
        </w:tc>
        <w:tc>
          <w:tcPr>
            <w:tcW w:w="2924" w:type="pct"/>
            <w:shd w:val="clear" w:color="auto" w:fill="auto"/>
            <w:vAlign w:val="center"/>
            <w:hideMark/>
          </w:tcPr>
          <w:p w14:paraId="4D1732D1" w14:textId="77777777" w:rsidR="00A45156" w:rsidRPr="002C1AFE" w:rsidRDefault="00A45156" w:rsidP="00A45156">
            <w:pPr>
              <w:spacing w:before="0" w:after="0" w:line="240" w:lineRule="auto"/>
              <w:ind w:left="1267"/>
              <w:contextualSpacing/>
              <w:rPr>
                <w:rFonts w:eastAsia="Times New Roman"/>
                <w:sz w:val="21"/>
                <w:szCs w:val="36"/>
                <w:lang w:eastAsia="zh-TW"/>
              </w:rPr>
            </w:pPr>
            <w:r w:rsidRPr="002C1AFE">
              <w:rPr>
                <w:rFonts w:eastAsia="Arial"/>
                <w:kern w:val="24"/>
                <w:sz w:val="21"/>
                <w:szCs w:val="32"/>
                <w:lang w:eastAsia="zh-TW"/>
              </w:rPr>
              <w:t>MU, Proportional fair, up to 4 layers</w:t>
            </w:r>
          </w:p>
        </w:tc>
      </w:tr>
      <w:tr w:rsidR="00A45156" w:rsidRPr="00FC3135" w14:paraId="6653C39E" w14:textId="77777777" w:rsidTr="00B4348A">
        <w:trPr>
          <w:trHeight w:val="63"/>
        </w:trPr>
        <w:tc>
          <w:tcPr>
            <w:tcW w:w="2076" w:type="pct"/>
            <w:shd w:val="clear" w:color="auto" w:fill="auto"/>
            <w:vAlign w:val="center"/>
            <w:hideMark/>
          </w:tcPr>
          <w:p w14:paraId="001C5655" w14:textId="77777777" w:rsidR="00A45156" w:rsidRPr="002C1AFE" w:rsidRDefault="00A45156" w:rsidP="00A45156">
            <w:pPr>
              <w:spacing w:before="0" w:after="0" w:line="240" w:lineRule="auto"/>
              <w:jc w:val="center"/>
              <w:rPr>
                <w:rFonts w:eastAsia="Times New Roman"/>
                <w:sz w:val="21"/>
                <w:szCs w:val="36"/>
                <w:lang w:eastAsia="zh-TW"/>
              </w:rPr>
            </w:pPr>
            <w:r w:rsidRPr="002C1AFE">
              <w:rPr>
                <w:rFonts w:eastAsia="Arial"/>
                <w:bCs/>
                <w:kern w:val="24"/>
                <w:sz w:val="21"/>
                <w:szCs w:val="32"/>
                <w:lang w:eastAsia="zh-TW"/>
              </w:rPr>
              <w:t>Channel estimation</w:t>
            </w:r>
          </w:p>
        </w:tc>
        <w:tc>
          <w:tcPr>
            <w:tcW w:w="2924" w:type="pct"/>
            <w:shd w:val="clear" w:color="auto" w:fill="auto"/>
            <w:vAlign w:val="center"/>
            <w:hideMark/>
          </w:tcPr>
          <w:p w14:paraId="5A28B279" w14:textId="77777777" w:rsidR="00A45156" w:rsidRPr="002C1AFE" w:rsidRDefault="00A45156" w:rsidP="00A45156">
            <w:pPr>
              <w:spacing w:before="0" w:after="0" w:line="240" w:lineRule="auto"/>
              <w:jc w:val="center"/>
              <w:rPr>
                <w:rFonts w:eastAsia="Times New Roman"/>
                <w:sz w:val="21"/>
                <w:szCs w:val="36"/>
                <w:lang w:eastAsia="zh-TW"/>
              </w:rPr>
            </w:pPr>
            <w:r>
              <w:rPr>
                <w:rFonts w:eastAsia="Arial"/>
                <w:kern w:val="24"/>
                <w:sz w:val="21"/>
                <w:szCs w:val="32"/>
                <w:lang w:eastAsia="zh-TW"/>
              </w:rPr>
              <w:t>Non-ideal</w:t>
            </w:r>
          </w:p>
        </w:tc>
      </w:tr>
      <w:tr w:rsidR="00A45156" w:rsidRPr="00FC3135" w14:paraId="3BEEF44B" w14:textId="77777777" w:rsidTr="00B4348A">
        <w:trPr>
          <w:trHeight w:val="63"/>
        </w:trPr>
        <w:tc>
          <w:tcPr>
            <w:tcW w:w="2076" w:type="pct"/>
            <w:shd w:val="clear" w:color="auto" w:fill="auto"/>
            <w:vAlign w:val="center"/>
            <w:hideMark/>
          </w:tcPr>
          <w:p w14:paraId="36846FB2" w14:textId="77777777" w:rsidR="00A45156" w:rsidRPr="002C1AFE" w:rsidRDefault="00A45156" w:rsidP="00A45156">
            <w:pPr>
              <w:spacing w:before="0" w:after="0" w:line="240" w:lineRule="auto"/>
              <w:jc w:val="center"/>
              <w:rPr>
                <w:rFonts w:eastAsia="Times New Roman"/>
                <w:sz w:val="21"/>
                <w:szCs w:val="36"/>
                <w:lang w:eastAsia="zh-TW"/>
              </w:rPr>
            </w:pPr>
            <w:r w:rsidRPr="002C1AFE">
              <w:rPr>
                <w:rFonts w:eastAsia="Arial"/>
                <w:bCs/>
                <w:kern w:val="24"/>
                <w:sz w:val="21"/>
                <w:szCs w:val="32"/>
                <w:lang w:eastAsia="zh-TW"/>
              </w:rPr>
              <w:t>Transmission rank</w:t>
            </w:r>
          </w:p>
        </w:tc>
        <w:tc>
          <w:tcPr>
            <w:tcW w:w="2924" w:type="pct"/>
            <w:shd w:val="clear" w:color="auto" w:fill="auto"/>
            <w:vAlign w:val="center"/>
            <w:hideMark/>
          </w:tcPr>
          <w:p w14:paraId="11BDDDB4" w14:textId="77777777" w:rsidR="00A45156" w:rsidRPr="002C1AFE" w:rsidRDefault="00A45156" w:rsidP="00A45156">
            <w:pPr>
              <w:spacing w:before="0" w:after="0" w:line="240" w:lineRule="auto"/>
              <w:jc w:val="center"/>
              <w:rPr>
                <w:rFonts w:eastAsia="Times New Roman"/>
                <w:sz w:val="21"/>
                <w:szCs w:val="36"/>
                <w:lang w:eastAsia="zh-TW"/>
              </w:rPr>
            </w:pPr>
            <w:r w:rsidRPr="002C1AFE">
              <w:rPr>
                <w:rFonts w:eastAsia="Arial"/>
                <w:kern w:val="24"/>
                <w:sz w:val="21"/>
                <w:szCs w:val="32"/>
                <w:lang w:eastAsia="zh-TW"/>
              </w:rPr>
              <w:t>1</w:t>
            </w:r>
            <w:r>
              <w:rPr>
                <w:rFonts w:eastAsia="Arial"/>
                <w:kern w:val="24"/>
                <w:sz w:val="21"/>
                <w:szCs w:val="32"/>
                <w:lang w:eastAsia="zh-TW"/>
              </w:rPr>
              <w:t>,2</w:t>
            </w:r>
          </w:p>
        </w:tc>
      </w:tr>
      <w:tr w:rsidR="00A45156" w:rsidRPr="00FC3135" w14:paraId="7AA4E4AD" w14:textId="77777777" w:rsidTr="00B4348A">
        <w:trPr>
          <w:trHeight w:val="63"/>
        </w:trPr>
        <w:tc>
          <w:tcPr>
            <w:tcW w:w="2076" w:type="pct"/>
            <w:shd w:val="clear" w:color="auto" w:fill="auto"/>
            <w:vAlign w:val="center"/>
            <w:hideMark/>
          </w:tcPr>
          <w:p w14:paraId="591EBA09" w14:textId="77777777" w:rsidR="00A45156" w:rsidRPr="002C1AFE" w:rsidRDefault="00A45156" w:rsidP="00A45156">
            <w:pPr>
              <w:spacing w:before="0" w:after="0" w:line="240" w:lineRule="auto"/>
              <w:jc w:val="center"/>
              <w:rPr>
                <w:rFonts w:eastAsia="Times New Roman"/>
                <w:sz w:val="21"/>
                <w:szCs w:val="36"/>
                <w:lang w:eastAsia="zh-TW"/>
              </w:rPr>
            </w:pPr>
            <w:r w:rsidRPr="002C1AFE">
              <w:rPr>
                <w:rFonts w:eastAsia="Arial"/>
                <w:bCs/>
                <w:kern w:val="24"/>
                <w:sz w:val="21"/>
                <w:szCs w:val="32"/>
                <w:lang w:eastAsia="zh-TW"/>
              </w:rPr>
              <w:t xml:space="preserve">Receiver </w:t>
            </w:r>
          </w:p>
        </w:tc>
        <w:tc>
          <w:tcPr>
            <w:tcW w:w="2924" w:type="pct"/>
            <w:shd w:val="clear" w:color="auto" w:fill="auto"/>
            <w:vAlign w:val="center"/>
            <w:hideMark/>
          </w:tcPr>
          <w:p w14:paraId="0AD3CE7A" w14:textId="77777777" w:rsidR="00A45156" w:rsidRPr="002C1AFE" w:rsidRDefault="00A45156" w:rsidP="00A45156">
            <w:pPr>
              <w:spacing w:before="0" w:after="0" w:line="240" w:lineRule="auto"/>
              <w:jc w:val="center"/>
              <w:rPr>
                <w:rFonts w:eastAsia="Times New Roman"/>
                <w:sz w:val="21"/>
                <w:szCs w:val="36"/>
                <w:lang w:eastAsia="zh-TW"/>
              </w:rPr>
            </w:pPr>
            <w:r w:rsidRPr="002C1AFE">
              <w:rPr>
                <w:rFonts w:eastAsia="Arial"/>
                <w:kern w:val="24"/>
                <w:sz w:val="21"/>
                <w:szCs w:val="32"/>
                <w:lang w:eastAsia="zh-TW"/>
              </w:rPr>
              <w:t>MMSE-IRC</w:t>
            </w:r>
          </w:p>
        </w:tc>
      </w:tr>
      <w:tr w:rsidR="00A45156" w:rsidRPr="00FC3135" w14:paraId="21EE7BB2" w14:textId="77777777" w:rsidTr="00B4348A">
        <w:trPr>
          <w:trHeight w:val="63"/>
        </w:trPr>
        <w:tc>
          <w:tcPr>
            <w:tcW w:w="2076" w:type="pct"/>
            <w:shd w:val="clear" w:color="auto" w:fill="auto"/>
            <w:vAlign w:val="center"/>
          </w:tcPr>
          <w:p w14:paraId="22E5B031" w14:textId="77777777" w:rsidR="00A45156" w:rsidRPr="002C1AFE" w:rsidRDefault="00A45156" w:rsidP="00A45156">
            <w:pPr>
              <w:spacing w:before="0" w:after="0" w:line="240" w:lineRule="auto"/>
              <w:jc w:val="center"/>
              <w:rPr>
                <w:rFonts w:eastAsia="Arial"/>
                <w:bCs/>
                <w:kern w:val="24"/>
                <w:sz w:val="21"/>
                <w:szCs w:val="32"/>
                <w:lang w:eastAsia="zh-TW"/>
              </w:rPr>
            </w:pPr>
            <w:r>
              <w:rPr>
                <w:rFonts w:eastAsia="Arial"/>
                <w:bCs/>
                <w:kern w:val="24"/>
                <w:sz w:val="21"/>
                <w:szCs w:val="32"/>
                <w:lang w:eastAsia="zh-TW"/>
              </w:rPr>
              <w:t>CSI feedback schemes</w:t>
            </w:r>
          </w:p>
        </w:tc>
        <w:tc>
          <w:tcPr>
            <w:tcW w:w="2924" w:type="pct"/>
            <w:shd w:val="clear" w:color="auto" w:fill="auto"/>
            <w:vAlign w:val="center"/>
          </w:tcPr>
          <w:p w14:paraId="60A51EA4" w14:textId="77777777" w:rsidR="00A45156" w:rsidRPr="00FE44D6" w:rsidRDefault="00A45156" w:rsidP="00A45156">
            <w:pPr>
              <w:spacing w:before="0" w:after="0" w:line="240" w:lineRule="auto"/>
              <w:jc w:val="center"/>
              <w:rPr>
                <w:rFonts w:eastAsia="Arial"/>
                <w:kern w:val="24"/>
                <w:sz w:val="21"/>
                <w:szCs w:val="32"/>
                <w:lang w:eastAsia="zh-TW"/>
              </w:rPr>
            </w:pPr>
            <w:r>
              <w:rPr>
                <w:rFonts w:eastAsia="Arial"/>
                <w:kern w:val="24"/>
                <w:sz w:val="21"/>
                <w:szCs w:val="32"/>
                <w:u w:val="single"/>
                <w:lang w:eastAsia="zh-TW"/>
              </w:rPr>
              <w:t>Reference</w:t>
            </w:r>
            <w:r w:rsidRPr="00FE44D6">
              <w:rPr>
                <w:rFonts w:eastAsia="Arial"/>
                <w:kern w:val="24"/>
                <w:sz w:val="21"/>
                <w:szCs w:val="32"/>
                <w:lang w:eastAsia="zh-TW"/>
              </w:rPr>
              <w:t>: Rel. 1</w:t>
            </w:r>
            <w:r>
              <w:rPr>
                <w:rFonts w:eastAsia="Arial"/>
                <w:kern w:val="24"/>
                <w:sz w:val="21"/>
                <w:szCs w:val="32"/>
                <w:lang w:eastAsia="zh-TW"/>
              </w:rPr>
              <w:t>4 advanced CSI codebook</w:t>
            </w:r>
          </w:p>
          <w:p w14:paraId="3995676C" w14:textId="65766DB0" w:rsidR="00A45156" w:rsidRPr="0069181E" w:rsidRDefault="00A45156" w:rsidP="00A45156">
            <w:pPr>
              <w:spacing w:before="0" w:after="0" w:line="240" w:lineRule="auto"/>
              <w:jc w:val="center"/>
              <w:rPr>
                <w:rFonts w:eastAsia="Arial"/>
                <w:kern w:val="24"/>
                <w:sz w:val="21"/>
                <w:szCs w:val="32"/>
                <w:lang w:eastAsia="zh-TW"/>
              </w:rPr>
            </w:pPr>
            <w:r>
              <w:rPr>
                <w:rFonts w:eastAsia="Arial"/>
                <w:kern w:val="24"/>
                <w:sz w:val="21"/>
                <w:szCs w:val="32"/>
                <w:u w:val="single"/>
                <w:lang w:eastAsia="zh-TW"/>
              </w:rPr>
              <w:t>Type II CSI codebook</w:t>
            </w:r>
            <w:r w:rsidRPr="0069181E">
              <w:rPr>
                <w:rFonts w:eastAsia="Arial"/>
                <w:kern w:val="24"/>
                <w:sz w:val="21"/>
                <w:szCs w:val="32"/>
                <w:lang w:eastAsia="zh-TW"/>
              </w:rPr>
              <w:t>:</w:t>
            </w:r>
            <w:r>
              <w:rPr>
                <w:rFonts w:eastAsia="Arial"/>
                <w:kern w:val="24"/>
                <w:sz w:val="21"/>
                <w:szCs w:val="32"/>
                <w:lang w:eastAsia="zh-TW"/>
              </w:rPr>
              <w:t xml:space="preserve"> proposed in </w:t>
            </w:r>
            <w:r w:rsidR="009824E7">
              <w:rPr>
                <w:rFonts w:eastAsia="Arial"/>
                <w:kern w:val="24"/>
                <w:sz w:val="21"/>
                <w:szCs w:val="32"/>
                <w:lang w:eastAsia="zh-TW"/>
              </w:rPr>
              <w:t>[4</w:t>
            </w:r>
            <w:r w:rsidR="00DE038A">
              <w:rPr>
                <w:rFonts w:eastAsia="Arial"/>
                <w:kern w:val="24"/>
                <w:sz w:val="21"/>
                <w:szCs w:val="32"/>
                <w:lang w:eastAsia="zh-TW"/>
              </w:rPr>
              <w:t>]</w:t>
            </w:r>
          </w:p>
          <w:p w14:paraId="33AD7F04" w14:textId="77777777" w:rsidR="00A45156" w:rsidRPr="002C1AFE" w:rsidRDefault="00A45156" w:rsidP="00A45156">
            <w:pPr>
              <w:spacing w:before="0" w:after="0" w:line="240" w:lineRule="auto"/>
              <w:jc w:val="center"/>
              <w:rPr>
                <w:rFonts w:eastAsia="Arial"/>
                <w:kern w:val="24"/>
                <w:sz w:val="21"/>
                <w:szCs w:val="32"/>
                <w:lang w:eastAsia="zh-TW"/>
              </w:rPr>
            </w:pPr>
            <w:r w:rsidRPr="00FE44D6">
              <w:rPr>
                <w:rFonts w:eastAsia="Arial"/>
                <w:kern w:val="24"/>
                <w:sz w:val="21"/>
                <w:szCs w:val="32"/>
                <w:u w:val="single"/>
                <w:lang w:eastAsia="zh-TW"/>
              </w:rPr>
              <w:t>Ideal</w:t>
            </w:r>
            <w:r>
              <w:rPr>
                <w:rFonts w:eastAsia="Arial"/>
                <w:kern w:val="24"/>
                <w:sz w:val="21"/>
                <w:szCs w:val="32"/>
                <w:lang w:eastAsia="zh-TW"/>
              </w:rPr>
              <w:t xml:space="preserve">: dominant eigenvectors are known to the </w:t>
            </w:r>
            <w:proofErr w:type="spellStart"/>
            <w:r>
              <w:rPr>
                <w:rFonts w:eastAsia="Arial"/>
                <w:kern w:val="24"/>
                <w:sz w:val="21"/>
                <w:szCs w:val="32"/>
                <w:lang w:eastAsia="zh-TW"/>
              </w:rPr>
              <w:t>gNB</w:t>
            </w:r>
            <w:proofErr w:type="spellEnd"/>
            <w:r>
              <w:rPr>
                <w:rFonts w:eastAsia="Arial"/>
                <w:kern w:val="24"/>
                <w:sz w:val="21"/>
                <w:szCs w:val="32"/>
                <w:lang w:eastAsia="zh-TW"/>
              </w:rPr>
              <w:t>/TRP</w:t>
            </w:r>
          </w:p>
        </w:tc>
      </w:tr>
    </w:tbl>
    <w:p w14:paraId="45BB9189" w14:textId="77777777" w:rsidR="00A45156" w:rsidRPr="00126AC7" w:rsidRDefault="00A45156" w:rsidP="00A45156">
      <w:pPr>
        <w:pStyle w:val="2222"/>
        <w:spacing w:line="288" w:lineRule="auto"/>
        <w:ind w:firstLineChars="0" w:firstLine="0"/>
        <w:rPr>
          <w:rFonts w:cs="Times New Roman"/>
          <w:lang w:val="en-US" w:eastAsia="ko-KR"/>
        </w:rPr>
      </w:pPr>
    </w:p>
    <w:sectPr w:rsidR="00A45156" w:rsidRPr="00126AC7" w:rsidSect="00872417">
      <w:headerReference w:type="default" r:id="rId19"/>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95AE3E" w14:textId="77777777" w:rsidR="00165969" w:rsidRDefault="00165969">
      <w:r>
        <w:separator/>
      </w:r>
    </w:p>
  </w:endnote>
  <w:endnote w:type="continuationSeparator" w:id="0">
    <w:p w14:paraId="7CE1C859" w14:textId="77777777" w:rsidR="00165969" w:rsidRDefault="001659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EDD115" w14:textId="77777777" w:rsidR="00165969" w:rsidRDefault="00165969">
      <w:r>
        <w:separator/>
      </w:r>
    </w:p>
  </w:footnote>
  <w:footnote w:type="continuationSeparator" w:id="0">
    <w:p w14:paraId="6FD1121D" w14:textId="77777777" w:rsidR="00165969" w:rsidRDefault="001659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151461" w14:textId="77777777" w:rsidR="00B4348A" w:rsidRDefault="00B4348A">
    <w:pPr>
      <w:pStyle w:val="Header"/>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7BD92A" w14:textId="77777777" w:rsidR="00B4348A" w:rsidRDefault="00B4348A">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695D99" w14:textId="77777777" w:rsidR="00B4348A" w:rsidRDefault="00B4348A">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D760C"/>
    <w:multiLevelType w:val="hybridMultilevel"/>
    <w:tmpl w:val="42D08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5871F9"/>
    <w:multiLevelType w:val="hybridMultilevel"/>
    <w:tmpl w:val="380A3B64"/>
    <w:lvl w:ilvl="0" w:tplc="05806688">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53AED598">
      <w:start w:val="58"/>
      <w:numFmt w:val="bullet"/>
      <w:lvlText w:val="•"/>
      <w:lvlJc w:val="left"/>
      <w:pPr>
        <w:tabs>
          <w:tab w:val="num" w:pos="2160"/>
        </w:tabs>
        <w:ind w:left="2160" w:hanging="360"/>
      </w:pPr>
      <w:rPr>
        <w:rFonts w:ascii="Arial" w:hAnsi="Arial" w:hint="default"/>
      </w:rPr>
    </w:lvl>
    <w:lvl w:ilvl="3" w:tplc="B0C4F4E8">
      <w:start w:val="58"/>
      <w:numFmt w:val="bullet"/>
      <w:lvlText w:val="–"/>
      <w:lvlJc w:val="left"/>
      <w:pPr>
        <w:tabs>
          <w:tab w:val="num" w:pos="2880"/>
        </w:tabs>
        <w:ind w:left="2880" w:hanging="360"/>
      </w:pPr>
      <w:rPr>
        <w:rFonts w:ascii="Arial" w:hAnsi="Arial" w:hint="default"/>
      </w:rPr>
    </w:lvl>
    <w:lvl w:ilvl="4" w:tplc="286AD398">
      <w:start w:val="58"/>
      <w:numFmt w:val="bullet"/>
      <w:lvlText w:val="»"/>
      <w:lvlJc w:val="left"/>
      <w:pPr>
        <w:tabs>
          <w:tab w:val="num" w:pos="3600"/>
        </w:tabs>
        <w:ind w:left="3600" w:hanging="360"/>
      </w:pPr>
      <w:rPr>
        <w:rFonts w:ascii="Arial" w:hAnsi="Arial" w:hint="default"/>
      </w:rPr>
    </w:lvl>
    <w:lvl w:ilvl="5" w:tplc="00DC3C44" w:tentative="1">
      <w:start w:val="1"/>
      <w:numFmt w:val="bullet"/>
      <w:lvlText w:val="•"/>
      <w:lvlJc w:val="left"/>
      <w:pPr>
        <w:tabs>
          <w:tab w:val="num" w:pos="4320"/>
        </w:tabs>
        <w:ind w:left="4320" w:hanging="360"/>
      </w:pPr>
      <w:rPr>
        <w:rFonts w:ascii="Arial" w:hAnsi="Arial" w:hint="default"/>
      </w:rPr>
    </w:lvl>
    <w:lvl w:ilvl="6" w:tplc="7FBE036C" w:tentative="1">
      <w:start w:val="1"/>
      <w:numFmt w:val="bullet"/>
      <w:lvlText w:val="•"/>
      <w:lvlJc w:val="left"/>
      <w:pPr>
        <w:tabs>
          <w:tab w:val="num" w:pos="5040"/>
        </w:tabs>
        <w:ind w:left="5040" w:hanging="360"/>
      </w:pPr>
      <w:rPr>
        <w:rFonts w:ascii="Arial" w:hAnsi="Arial" w:hint="default"/>
      </w:rPr>
    </w:lvl>
    <w:lvl w:ilvl="7" w:tplc="BB6245FE" w:tentative="1">
      <w:start w:val="1"/>
      <w:numFmt w:val="bullet"/>
      <w:lvlText w:val="•"/>
      <w:lvlJc w:val="left"/>
      <w:pPr>
        <w:tabs>
          <w:tab w:val="num" w:pos="5760"/>
        </w:tabs>
        <w:ind w:left="5760" w:hanging="360"/>
      </w:pPr>
      <w:rPr>
        <w:rFonts w:ascii="Arial" w:hAnsi="Arial" w:hint="default"/>
      </w:rPr>
    </w:lvl>
    <w:lvl w:ilvl="8" w:tplc="769CA22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9A5E1E"/>
    <w:multiLevelType w:val="hybridMultilevel"/>
    <w:tmpl w:val="C4B01A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C47B8D"/>
    <w:multiLevelType w:val="hybridMultilevel"/>
    <w:tmpl w:val="2A3CAA6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D564880"/>
    <w:multiLevelType w:val="hybridMultilevel"/>
    <w:tmpl w:val="8CAADF8A"/>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1D720D4"/>
    <w:multiLevelType w:val="hybridMultilevel"/>
    <w:tmpl w:val="4F68CA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7D4485"/>
    <w:multiLevelType w:val="hybridMultilevel"/>
    <w:tmpl w:val="DC2AB420"/>
    <w:lvl w:ilvl="0" w:tplc="E304D4C4">
      <w:start w:val="1"/>
      <w:numFmt w:val="bullet"/>
      <w:lvlText w:val="•"/>
      <w:lvlJc w:val="left"/>
      <w:pPr>
        <w:tabs>
          <w:tab w:val="num" w:pos="1080"/>
        </w:tabs>
        <w:ind w:left="1080" w:hanging="360"/>
      </w:pPr>
      <w:rPr>
        <w:rFonts w:ascii="Arial" w:hAnsi="Arial" w:hint="default"/>
      </w:rPr>
    </w:lvl>
    <w:lvl w:ilvl="1" w:tplc="DC903774">
      <w:start w:val="514"/>
      <w:numFmt w:val="bullet"/>
      <w:lvlText w:val="–"/>
      <w:lvlJc w:val="left"/>
      <w:pPr>
        <w:tabs>
          <w:tab w:val="num" w:pos="1800"/>
        </w:tabs>
        <w:ind w:left="1800" w:hanging="360"/>
      </w:pPr>
      <w:rPr>
        <w:rFonts w:ascii="Arial" w:hAnsi="Arial" w:hint="default"/>
      </w:rPr>
    </w:lvl>
    <w:lvl w:ilvl="2" w:tplc="C2860A90">
      <w:start w:val="1"/>
      <w:numFmt w:val="bullet"/>
      <w:lvlText w:val="•"/>
      <w:lvlJc w:val="left"/>
      <w:pPr>
        <w:tabs>
          <w:tab w:val="num" w:pos="2520"/>
        </w:tabs>
        <w:ind w:left="2520" w:hanging="360"/>
      </w:pPr>
      <w:rPr>
        <w:rFonts w:ascii="Arial" w:hAnsi="Arial" w:hint="default"/>
      </w:rPr>
    </w:lvl>
    <w:lvl w:ilvl="3" w:tplc="71BCD16E" w:tentative="1">
      <w:start w:val="1"/>
      <w:numFmt w:val="bullet"/>
      <w:lvlText w:val="•"/>
      <w:lvlJc w:val="left"/>
      <w:pPr>
        <w:tabs>
          <w:tab w:val="num" w:pos="3240"/>
        </w:tabs>
        <w:ind w:left="3240" w:hanging="360"/>
      </w:pPr>
      <w:rPr>
        <w:rFonts w:ascii="Arial" w:hAnsi="Arial" w:hint="default"/>
      </w:rPr>
    </w:lvl>
    <w:lvl w:ilvl="4" w:tplc="12800996" w:tentative="1">
      <w:start w:val="1"/>
      <w:numFmt w:val="bullet"/>
      <w:lvlText w:val="•"/>
      <w:lvlJc w:val="left"/>
      <w:pPr>
        <w:tabs>
          <w:tab w:val="num" w:pos="3960"/>
        </w:tabs>
        <w:ind w:left="3960" w:hanging="360"/>
      </w:pPr>
      <w:rPr>
        <w:rFonts w:ascii="Arial" w:hAnsi="Arial" w:hint="default"/>
      </w:rPr>
    </w:lvl>
    <w:lvl w:ilvl="5" w:tplc="3E661946" w:tentative="1">
      <w:start w:val="1"/>
      <w:numFmt w:val="bullet"/>
      <w:lvlText w:val="•"/>
      <w:lvlJc w:val="left"/>
      <w:pPr>
        <w:tabs>
          <w:tab w:val="num" w:pos="4680"/>
        </w:tabs>
        <w:ind w:left="4680" w:hanging="360"/>
      </w:pPr>
      <w:rPr>
        <w:rFonts w:ascii="Arial" w:hAnsi="Arial" w:hint="default"/>
      </w:rPr>
    </w:lvl>
    <w:lvl w:ilvl="6" w:tplc="F7507438" w:tentative="1">
      <w:start w:val="1"/>
      <w:numFmt w:val="bullet"/>
      <w:lvlText w:val="•"/>
      <w:lvlJc w:val="left"/>
      <w:pPr>
        <w:tabs>
          <w:tab w:val="num" w:pos="5400"/>
        </w:tabs>
        <w:ind w:left="5400" w:hanging="360"/>
      </w:pPr>
      <w:rPr>
        <w:rFonts w:ascii="Arial" w:hAnsi="Arial" w:hint="default"/>
      </w:rPr>
    </w:lvl>
    <w:lvl w:ilvl="7" w:tplc="11DA4870" w:tentative="1">
      <w:start w:val="1"/>
      <w:numFmt w:val="bullet"/>
      <w:lvlText w:val="•"/>
      <w:lvlJc w:val="left"/>
      <w:pPr>
        <w:tabs>
          <w:tab w:val="num" w:pos="6120"/>
        </w:tabs>
        <w:ind w:left="6120" w:hanging="360"/>
      </w:pPr>
      <w:rPr>
        <w:rFonts w:ascii="Arial" w:hAnsi="Arial" w:hint="default"/>
      </w:rPr>
    </w:lvl>
    <w:lvl w:ilvl="8" w:tplc="798EC0D8" w:tentative="1">
      <w:start w:val="1"/>
      <w:numFmt w:val="bullet"/>
      <w:lvlText w:val="•"/>
      <w:lvlJc w:val="left"/>
      <w:pPr>
        <w:tabs>
          <w:tab w:val="num" w:pos="6840"/>
        </w:tabs>
        <w:ind w:left="6840" w:hanging="360"/>
      </w:pPr>
      <w:rPr>
        <w:rFonts w:ascii="Arial" w:hAnsi="Arial" w:hint="default"/>
      </w:rPr>
    </w:lvl>
  </w:abstractNum>
  <w:abstractNum w:abstractNumId="8" w15:restartNumberingAfterBreak="0">
    <w:nsid w:val="17001318"/>
    <w:multiLevelType w:val="hybridMultilevel"/>
    <w:tmpl w:val="81B438D8"/>
    <w:lvl w:ilvl="0" w:tplc="78B66DE6">
      <w:start w:val="1"/>
      <w:numFmt w:val="bullet"/>
      <w:lvlText w:val="•"/>
      <w:lvlJc w:val="left"/>
      <w:pPr>
        <w:tabs>
          <w:tab w:val="num" w:pos="720"/>
        </w:tabs>
        <w:ind w:left="720" w:hanging="360"/>
      </w:pPr>
      <w:rPr>
        <w:rFonts w:ascii="Arial" w:hAnsi="Arial" w:hint="default"/>
      </w:rPr>
    </w:lvl>
    <w:lvl w:ilvl="1" w:tplc="89668078">
      <w:start w:val="2075"/>
      <w:numFmt w:val="bullet"/>
      <w:lvlText w:val="–"/>
      <w:lvlJc w:val="left"/>
      <w:pPr>
        <w:tabs>
          <w:tab w:val="num" w:pos="1440"/>
        </w:tabs>
        <w:ind w:left="1440" w:hanging="360"/>
      </w:pPr>
      <w:rPr>
        <w:rFonts w:ascii="Arial" w:hAnsi="Arial" w:hint="default"/>
      </w:rPr>
    </w:lvl>
    <w:lvl w:ilvl="2" w:tplc="DE0AACC6">
      <w:start w:val="2075"/>
      <w:numFmt w:val="bullet"/>
      <w:lvlText w:val="•"/>
      <w:lvlJc w:val="left"/>
      <w:pPr>
        <w:tabs>
          <w:tab w:val="num" w:pos="2160"/>
        </w:tabs>
        <w:ind w:left="2160" w:hanging="360"/>
      </w:pPr>
      <w:rPr>
        <w:rFonts w:ascii="Arial" w:hAnsi="Arial" w:hint="default"/>
      </w:rPr>
    </w:lvl>
    <w:lvl w:ilvl="3" w:tplc="C1046086" w:tentative="1">
      <w:start w:val="1"/>
      <w:numFmt w:val="bullet"/>
      <w:lvlText w:val="•"/>
      <w:lvlJc w:val="left"/>
      <w:pPr>
        <w:tabs>
          <w:tab w:val="num" w:pos="2880"/>
        </w:tabs>
        <w:ind w:left="2880" w:hanging="360"/>
      </w:pPr>
      <w:rPr>
        <w:rFonts w:ascii="Arial" w:hAnsi="Arial" w:hint="default"/>
      </w:rPr>
    </w:lvl>
    <w:lvl w:ilvl="4" w:tplc="5C2429EE" w:tentative="1">
      <w:start w:val="1"/>
      <w:numFmt w:val="bullet"/>
      <w:lvlText w:val="•"/>
      <w:lvlJc w:val="left"/>
      <w:pPr>
        <w:tabs>
          <w:tab w:val="num" w:pos="3600"/>
        </w:tabs>
        <w:ind w:left="3600" w:hanging="360"/>
      </w:pPr>
      <w:rPr>
        <w:rFonts w:ascii="Arial" w:hAnsi="Arial" w:hint="default"/>
      </w:rPr>
    </w:lvl>
    <w:lvl w:ilvl="5" w:tplc="FE884EFA" w:tentative="1">
      <w:start w:val="1"/>
      <w:numFmt w:val="bullet"/>
      <w:lvlText w:val="•"/>
      <w:lvlJc w:val="left"/>
      <w:pPr>
        <w:tabs>
          <w:tab w:val="num" w:pos="4320"/>
        </w:tabs>
        <w:ind w:left="4320" w:hanging="360"/>
      </w:pPr>
      <w:rPr>
        <w:rFonts w:ascii="Arial" w:hAnsi="Arial" w:hint="default"/>
      </w:rPr>
    </w:lvl>
    <w:lvl w:ilvl="6" w:tplc="3124826C" w:tentative="1">
      <w:start w:val="1"/>
      <w:numFmt w:val="bullet"/>
      <w:lvlText w:val="•"/>
      <w:lvlJc w:val="left"/>
      <w:pPr>
        <w:tabs>
          <w:tab w:val="num" w:pos="5040"/>
        </w:tabs>
        <w:ind w:left="5040" w:hanging="360"/>
      </w:pPr>
      <w:rPr>
        <w:rFonts w:ascii="Arial" w:hAnsi="Arial" w:hint="default"/>
      </w:rPr>
    </w:lvl>
    <w:lvl w:ilvl="7" w:tplc="01DA706C" w:tentative="1">
      <w:start w:val="1"/>
      <w:numFmt w:val="bullet"/>
      <w:lvlText w:val="•"/>
      <w:lvlJc w:val="left"/>
      <w:pPr>
        <w:tabs>
          <w:tab w:val="num" w:pos="5760"/>
        </w:tabs>
        <w:ind w:left="5760" w:hanging="360"/>
      </w:pPr>
      <w:rPr>
        <w:rFonts w:ascii="Arial" w:hAnsi="Arial" w:hint="default"/>
      </w:rPr>
    </w:lvl>
    <w:lvl w:ilvl="8" w:tplc="49D4D24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1A8770F7"/>
    <w:multiLevelType w:val="hybridMultilevel"/>
    <w:tmpl w:val="FB1267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F9659E"/>
    <w:multiLevelType w:val="hybridMultilevel"/>
    <w:tmpl w:val="18C839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D3237E1"/>
    <w:multiLevelType w:val="hybridMultilevel"/>
    <w:tmpl w:val="D19A9D1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21B84570"/>
    <w:multiLevelType w:val="hybridMultilevel"/>
    <w:tmpl w:val="3B0A7296"/>
    <w:lvl w:ilvl="0" w:tplc="650A8E9C">
      <w:start w:val="1"/>
      <w:numFmt w:val="bullet"/>
      <w:lvlText w:val="•"/>
      <w:lvlJc w:val="left"/>
      <w:pPr>
        <w:tabs>
          <w:tab w:val="num" w:pos="720"/>
        </w:tabs>
        <w:ind w:left="720" w:hanging="360"/>
      </w:pPr>
      <w:rPr>
        <w:rFonts w:ascii="Arial" w:hAnsi="Arial" w:hint="default"/>
      </w:rPr>
    </w:lvl>
    <w:lvl w:ilvl="1" w:tplc="7624E14C">
      <w:start w:val="276"/>
      <w:numFmt w:val="bullet"/>
      <w:lvlText w:val="–"/>
      <w:lvlJc w:val="left"/>
      <w:pPr>
        <w:tabs>
          <w:tab w:val="num" w:pos="1440"/>
        </w:tabs>
        <w:ind w:left="1440" w:hanging="360"/>
      </w:pPr>
      <w:rPr>
        <w:rFonts w:ascii="Arial" w:hAnsi="Arial" w:hint="default"/>
      </w:rPr>
    </w:lvl>
    <w:lvl w:ilvl="2" w:tplc="C5D64420">
      <w:start w:val="276"/>
      <w:numFmt w:val="bullet"/>
      <w:lvlText w:val="•"/>
      <w:lvlJc w:val="left"/>
      <w:pPr>
        <w:tabs>
          <w:tab w:val="num" w:pos="2160"/>
        </w:tabs>
        <w:ind w:left="2160" w:hanging="360"/>
      </w:pPr>
      <w:rPr>
        <w:rFonts w:ascii="Arial" w:hAnsi="Arial" w:hint="default"/>
      </w:rPr>
    </w:lvl>
    <w:lvl w:ilvl="3" w:tplc="D3D2E0DC">
      <w:start w:val="276"/>
      <w:numFmt w:val="bullet"/>
      <w:lvlText w:val="–"/>
      <w:lvlJc w:val="left"/>
      <w:pPr>
        <w:tabs>
          <w:tab w:val="num" w:pos="2880"/>
        </w:tabs>
        <w:ind w:left="2880" w:hanging="360"/>
      </w:pPr>
      <w:rPr>
        <w:rFonts w:ascii="Arial" w:hAnsi="Arial" w:hint="default"/>
      </w:rPr>
    </w:lvl>
    <w:lvl w:ilvl="4" w:tplc="195EAEB6">
      <w:start w:val="276"/>
      <w:numFmt w:val="bullet"/>
      <w:lvlText w:val="»"/>
      <w:lvlJc w:val="left"/>
      <w:pPr>
        <w:tabs>
          <w:tab w:val="num" w:pos="3600"/>
        </w:tabs>
        <w:ind w:left="3600" w:hanging="360"/>
      </w:pPr>
      <w:rPr>
        <w:rFonts w:ascii="Arial" w:hAnsi="Arial" w:hint="default"/>
      </w:rPr>
    </w:lvl>
    <w:lvl w:ilvl="5" w:tplc="304A0C40">
      <w:start w:val="1"/>
      <w:numFmt w:val="bullet"/>
      <w:lvlText w:val="•"/>
      <w:lvlJc w:val="left"/>
      <w:pPr>
        <w:tabs>
          <w:tab w:val="num" w:pos="4320"/>
        </w:tabs>
        <w:ind w:left="4320" w:hanging="360"/>
      </w:pPr>
      <w:rPr>
        <w:rFonts w:ascii="Arial" w:hAnsi="Arial" w:hint="default"/>
      </w:rPr>
    </w:lvl>
    <w:lvl w:ilvl="6" w:tplc="54F245A4" w:tentative="1">
      <w:start w:val="1"/>
      <w:numFmt w:val="bullet"/>
      <w:lvlText w:val="•"/>
      <w:lvlJc w:val="left"/>
      <w:pPr>
        <w:tabs>
          <w:tab w:val="num" w:pos="5040"/>
        </w:tabs>
        <w:ind w:left="5040" w:hanging="360"/>
      </w:pPr>
      <w:rPr>
        <w:rFonts w:ascii="Arial" w:hAnsi="Arial" w:hint="default"/>
      </w:rPr>
    </w:lvl>
    <w:lvl w:ilvl="7" w:tplc="19CCF1C2" w:tentative="1">
      <w:start w:val="1"/>
      <w:numFmt w:val="bullet"/>
      <w:lvlText w:val="•"/>
      <w:lvlJc w:val="left"/>
      <w:pPr>
        <w:tabs>
          <w:tab w:val="num" w:pos="5760"/>
        </w:tabs>
        <w:ind w:left="5760" w:hanging="360"/>
      </w:pPr>
      <w:rPr>
        <w:rFonts w:ascii="Arial" w:hAnsi="Arial" w:hint="default"/>
      </w:rPr>
    </w:lvl>
    <w:lvl w:ilvl="8" w:tplc="458A19C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48823AE"/>
    <w:multiLevelType w:val="hybridMultilevel"/>
    <w:tmpl w:val="E93E8942"/>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293F182E"/>
    <w:multiLevelType w:val="hybridMultilevel"/>
    <w:tmpl w:val="B1E8B5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943ADB"/>
    <w:multiLevelType w:val="hybridMultilevel"/>
    <w:tmpl w:val="3BDCB8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D9E5022"/>
    <w:multiLevelType w:val="hybridMultilevel"/>
    <w:tmpl w:val="D5769A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291D71"/>
    <w:multiLevelType w:val="multilevel"/>
    <w:tmpl w:val="82683D96"/>
    <w:lvl w:ilvl="0">
      <w:start w:val="1"/>
      <w:numFmt w:val="decimal"/>
      <w:pStyle w:val="Heading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9" w15:restartNumberingAfterBreak="0">
    <w:nsid w:val="2E45472B"/>
    <w:multiLevelType w:val="hybridMultilevel"/>
    <w:tmpl w:val="076E4B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F4809FB"/>
    <w:multiLevelType w:val="hybridMultilevel"/>
    <w:tmpl w:val="0F70BD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3AF0E3C"/>
    <w:multiLevelType w:val="hybridMultilevel"/>
    <w:tmpl w:val="8CCAC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66A3B01"/>
    <w:multiLevelType w:val="hybridMultilevel"/>
    <w:tmpl w:val="A05420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207501B"/>
    <w:multiLevelType w:val="hybridMultilevel"/>
    <w:tmpl w:val="A5E832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43A1C61"/>
    <w:multiLevelType w:val="hybridMultilevel"/>
    <w:tmpl w:val="BDCEFF8A"/>
    <w:lvl w:ilvl="0" w:tplc="05806688">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53AED598">
      <w:start w:val="58"/>
      <w:numFmt w:val="bullet"/>
      <w:lvlText w:val="•"/>
      <w:lvlJc w:val="left"/>
      <w:pPr>
        <w:tabs>
          <w:tab w:val="num" w:pos="2160"/>
        </w:tabs>
        <w:ind w:left="2160" w:hanging="360"/>
      </w:pPr>
      <w:rPr>
        <w:rFonts w:ascii="Arial" w:hAnsi="Arial" w:hint="default"/>
      </w:rPr>
    </w:lvl>
    <w:lvl w:ilvl="3" w:tplc="B0C4F4E8">
      <w:start w:val="58"/>
      <w:numFmt w:val="bullet"/>
      <w:lvlText w:val="–"/>
      <w:lvlJc w:val="left"/>
      <w:pPr>
        <w:tabs>
          <w:tab w:val="num" w:pos="2880"/>
        </w:tabs>
        <w:ind w:left="2880" w:hanging="360"/>
      </w:pPr>
      <w:rPr>
        <w:rFonts w:ascii="Arial" w:hAnsi="Arial" w:hint="default"/>
      </w:rPr>
    </w:lvl>
    <w:lvl w:ilvl="4" w:tplc="286AD398">
      <w:start w:val="58"/>
      <w:numFmt w:val="bullet"/>
      <w:lvlText w:val="»"/>
      <w:lvlJc w:val="left"/>
      <w:pPr>
        <w:tabs>
          <w:tab w:val="num" w:pos="3600"/>
        </w:tabs>
        <w:ind w:left="3600" w:hanging="360"/>
      </w:pPr>
      <w:rPr>
        <w:rFonts w:ascii="Arial" w:hAnsi="Arial" w:hint="default"/>
      </w:rPr>
    </w:lvl>
    <w:lvl w:ilvl="5" w:tplc="00DC3C44" w:tentative="1">
      <w:start w:val="1"/>
      <w:numFmt w:val="bullet"/>
      <w:lvlText w:val="•"/>
      <w:lvlJc w:val="left"/>
      <w:pPr>
        <w:tabs>
          <w:tab w:val="num" w:pos="4320"/>
        </w:tabs>
        <w:ind w:left="4320" w:hanging="360"/>
      </w:pPr>
      <w:rPr>
        <w:rFonts w:ascii="Arial" w:hAnsi="Arial" w:hint="default"/>
      </w:rPr>
    </w:lvl>
    <w:lvl w:ilvl="6" w:tplc="7FBE036C" w:tentative="1">
      <w:start w:val="1"/>
      <w:numFmt w:val="bullet"/>
      <w:lvlText w:val="•"/>
      <w:lvlJc w:val="left"/>
      <w:pPr>
        <w:tabs>
          <w:tab w:val="num" w:pos="5040"/>
        </w:tabs>
        <w:ind w:left="5040" w:hanging="360"/>
      </w:pPr>
      <w:rPr>
        <w:rFonts w:ascii="Arial" w:hAnsi="Arial" w:hint="default"/>
      </w:rPr>
    </w:lvl>
    <w:lvl w:ilvl="7" w:tplc="BB6245FE" w:tentative="1">
      <w:start w:val="1"/>
      <w:numFmt w:val="bullet"/>
      <w:lvlText w:val="•"/>
      <w:lvlJc w:val="left"/>
      <w:pPr>
        <w:tabs>
          <w:tab w:val="num" w:pos="5760"/>
        </w:tabs>
        <w:ind w:left="5760" w:hanging="360"/>
      </w:pPr>
      <w:rPr>
        <w:rFonts w:ascii="Arial" w:hAnsi="Arial" w:hint="default"/>
      </w:rPr>
    </w:lvl>
    <w:lvl w:ilvl="8" w:tplc="769CA22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89A040E"/>
    <w:multiLevelType w:val="hybridMultilevel"/>
    <w:tmpl w:val="850EE8A4"/>
    <w:lvl w:ilvl="0" w:tplc="04090003">
      <w:start w:val="1"/>
      <w:numFmt w:val="bullet"/>
      <w:lvlText w:val="o"/>
      <w:lvlJc w:val="left"/>
      <w:pPr>
        <w:ind w:left="1520" w:hanging="360"/>
      </w:pPr>
      <w:rPr>
        <w:rFonts w:ascii="Courier New" w:hAnsi="Courier New" w:cs="Courier New" w:hint="default"/>
      </w:rPr>
    </w:lvl>
    <w:lvl w:ilvl="1" w:tplc="04090005">
      <w:start w:val="1"/>
      <w:numFmt w:val="bullet"/>
      <w:lvlText w:val=""/>
      <w:lvlJc w:val="left"/>
      <w:pPr>
        <w:ind w:left="2240" w:hanging="360"/>
      </w:pPr>
      <w:rPr>
        <w:rFonts w:ascii="Wingdings" w:hAnsi="Wingdings" w:hint="default"/>
      </w:rPr>
    </w:lvl>
    <w:lvl w:ilvl="2" w:tplc="04090005" w:tentative="1">
      <w:start w:val="1"/>
      <w:numFmt w:val="bullet"/>
      <w:lvlText w:val=""/>
      <w:lvlJc w:val="left"/>
      <w:pPr>
        <w:ind w:left="2960" w:hanging="360"/>
      </w:pPr>
      <w:rPr>
        <w:rFonts w:ascii="Wingdings" w:hAnsi="Wingdings" w:hint="default"/>
      </w:rPr>
    </w:lvl>
    <w:lvl w:ilvl="3" w:tplc="04090001" w:tentative="1">
      <w:start w:val="1"/>
      <w:numFmt w:val="bullet"/>
      <w:lvlText w:val=""/>
      <w:lvlJc w:val="left"/>
      <w:pPr>
        <w:ind w:left="3680" w:hanging="360"/>
      </w:pPr>
      <w:rPr>
        <w:rFonts w:ascii="Symbol" w:hAnsi="Symbol" w:hint="default"/>
      </w:rPr>
    </w:lvl>
    <w:lvl w:ilvl="4" w:tplc="04090003" w:tentative="1">
      <w:start w:val="1"/>
      <w:numFmt w:val="bullet"/>
      <w:lvlText w:val="o"/>
      <w:lvlJc w:val="left"/>
      <w:pPr>
        <w:ind w:left="4400" w:hanging="360"/>
      </w:pPr>
      <w:rPr>
        <w:rFonts w:ascii="Courier New" w:hAnsi="Courier New" w:cs="Courier New" w:hint="default"/>
      </w:rPr>
    </w:lvl>
    <w:lvl w:ilvl="5" w:tplc="04090005" w:tentative="1">
      <w:start w:val="1"/>
      <w:numFmt w:val="bullet"/>
      <w:lvlText w:val=""/>
      <w:lvlJc w:val="left"/>
      <w:pPr>
        <w:ind w:left="5120" w:hanging="360"/>
      </w:pPr>
      <w:rPr>
        <w:rFonts w:ascii="Wingdings" w:hAnsi="Wingdings" w:hint="default"/>
      </w:rPr>
    </w:lvl>
    <w:lvl w:ilvl="6" w:tplc="04090001" w:tentative="1">
      <w:start w:val="1"/>
      <w:numFmt w:val="bullet"/>
      <w:lvlText w:val=""/>
      <w:lvlJc w:val="left"/>
      <w:pPr>
        <w:ind w:left="5840" w:hanging="360"/>
      </w:pPr>
      <w:rPr>
        <w:rFonts w:ascii="Symbol" w:hAnsi="Symbol" w:hint="default"/>
      </w:rPr>
    </w:lvl>
    <w:lvl w:ilvl="7" w:tplc="04090003" w:tentative="1">
      <w:start w:val="1"/>
      <w:numFmt w:val="bullet"/>
      <w:lvlText w:val="o"/>
      <w:lvlJc w:val="left"/>
      <w:pPr>
        <w:ind w:left="6560" w:hanging="360"/>
      </w:pPr>
      <w:rPr>
        <w:rFonts w:ascii="Courier New" w:hAnsi="Courier New" w:cs="Courier New" w:hint="default"/>
      </w:rPr>
    </w:lvl>
    <w:lvl w:ilvl="8" w:tplc="04090005" w:tentative="1">
      <w:start w:val="1"/>
      <w:numFmt w:val="bullet"/>
      <w:lvlText w:val=""/>
      <w:lvlJc w:val="left"/>
      <w:pPr>
        <w:ind w:left="7280" w:hanging="360"/>
      </w:pPr>
      <w:rPr>
        <w:rFonts w:ascii="Wingdings" w:hAnsi="Wingdings" w:hint="default"/>
      </w:rPr>
    </w:lvl>
  </w:abstractNum>
  <w:abstractNum w:abstractNumId="26" w15:restartNumberingAfterBreak="0">
    <w:nsid w:val="49837B9C"/>
    <w:multiLevelType w:val="hybridMultilevel"/>
    <w:tmpl w:val="A02AE748"/>
    <w:lvl w:ilvl="0" w:tplc="04090001">
      <w:start w:val="1"/>
      <w:numFmt w:val="bullet"/>
      <w:lvlText w:val=""/>
      <w:lvlJc w:val="left"/>
      <w:pPr>
        <w:ind w:left="560" w:hanging="360"/>
      </w:pPr>
      <w:rPr>
        <w:rFonts w:ascii="Symbol" w:hAnsi="Symbol" w:hint="default"/>
      </w:rPr>
    </w:lvl>
    <w:lvl w:ilvl="1" w:tplc="04090003" w:tentative="1">
      <w:start w:val="1"/>
      <w:numFmt w:val="bullet"/>
      <w:lvlText w:val="o"/>
      <w:lvlJc w:val="left"/>
      <w:pPr>
        <w:ind w:left="1280" w:hanging="360"/>
      </w:pPr>
      <w:rPr>
        <w:rFonts w:ascii="Courier New" w:hAnsi="Courier New" w:cs="Courier New" w:hint="default"/>
      </w:rPr>
    </w:lvl>
    <w:lvl w:ilvl="2" w:tplc="04090005" w:tentative="1">
      <w:start w:val="1"/>
      <w:numFmt w:val="bullet"/>
      <w:lvlText w:val=""/>
      <w:lvlJc w:val="left"/>
      <w:pPr>
        <w:ind w:left="2000" w:hanging="360"/>
      </w:pPr>
      <w:rPr>
        <w:rFonts w:ascii="Wingdings" w:hAnsi="Wingdings" w:hint="default"/>
      </w:rPr>
    </w:lvl>
    <w:lvl w:ilvl="3" w:tplc="04090001" w:tentative="1">
      <w:start w:val="1"/>
      <w:numFmt w:val="bullet"/>
      <w:lvlText w:val=""/>
      <w:lvlJc w:val="left"/>
      <w:pPr>
        <w:ind w:left="2720" w:hanging="360"/>
      </w:pPr>
      <w:rPr>
        <w:rFonts w:ascii="Symbol" w:hAnsi="Symbol" w:hint="default"/>
      </w:rPr>
    </w:lvl>
    <w:lvl w:ilvl="4" w:tplc="04090003" w:tentative="1">
      <w:start w:val="1"/>
      <w:numFmt w:val="bullet"/>
      <w:lvlText w:val="o"/>
      <w:lvlJc w:val="left"/>
      <w:pPr>
        <w:ind w:left="3440" w:hanging="360"/>
      </w:pPr>
      <w:rPr>
        <w:rFonts w:ascii="Courier New" w:hAnsi="Courier New" w:cs="Courier New" w:hint="default"/>
      </w:rPr>
    </w:lvl>
    <w:lvl w:ilvl="5" w:tplc="04090005" w:tentative="1">
      <w:start w:val="1"/>
      <w:numFmt w:val="bullet"/>
      <w:lvlText w:val=""/>
      <w:lvlJc w:val="left"/>
      <w:pPr>
        <w:ind w:left="4160" w:hanging="360"/>
      </w:pPr>
      <w:rPr>
        <w:rFonts w:ascii="Wingdings" w:hAnsi="Wingdings" w:hint="default"/>
      </w:rPr>
    </w:lvl>
    <w:lvl w:ilvl="6" w:tplc="04090001" w:tentative="1">
      <w:start w:val="1"/>
      <w:numFmt w:val="bullet"/>
      <w:lvlText w:val=""/>
      <w:lvlJc w:val="left"/>
      <w:pPr>
        <w:ind w:left="4880" w:hanging="360"/>
      </w:pPr>
      <w:rPr>
        <w:rFonts w:ascii="Symbol" w:hAnsi="Symbol" w:hint="default"/>
      </w:rPr>
    </w:lvl>
    <w:lvl w:ilvl="7" w:tplc="04090003" w:tentative="1">
      <w:start w:val="1"/>
      <w:numFmt w:val="bullet"/>
      <w:lvlText w:val="o"/>
      <w:lvlJc w:val="left"/>
      <w:pPr>
        <w:ind w:left="5600" w:hanging="360"/>
      </w:pPr>
      <w:rPr>
        <w:rFonts w:ascii="Courier New" w:hAnsi="Courier New" w:cs="Courier New" w:hint="default"/>
      </w:rPr>
    </w:lvl>
    <w:lvl w:ilvl="8" w:tplc="04090005" w:tentative="1">
      <w:start w:val="1"/>
      <w:numFmt w:val="bullet"/>
      <w:lvlText w:val=""/>
      <w:lvlJc w:val="left"/>
      <w:pPr>
        <w:ind w:left="6320" w:hanging="360"/>
      </w:pPr>
      <w:rPr>
        <w:rFonts w:ascii="Wingdings" w:hAnsi="Wingdings" w:hint="default"/>
      </w:rPr>
    </w:lvl>
  </w:abstractNum>
  <w:abstractNum w:abstractNumId="27" w15:restartNumberingAfterBreak="0">
    <w:nsid w:val="4CFB6C15"/>
    <w:multiLevelType w:val="hybridMultilevel"/>
    <w:tmpl w:val="8416C9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F2749CF"/>
    <w:multiLevelType w:val="hybridMultilevel"/>
    <w:tmpl w:val="9E30156A"/>
    <w:lvl w:ilvl="0" w:tplc="E0AA6282">
      <w:start w:val="1"/>
      <w:numFmt w:val="bullet"/>
      <w:lvlText w:val="-"/>
      <w:lvlJc w:val="left"/>
      <w:pPr>
        <w:tabs>
          <w:tab w:val="num" w:pos="720"/>
        </w:tabs>
        <w:ind w:left="720" w:hanging="360"/>
      </w:pPr>
      <w:rPr>
        <w:rFonts w:ascii="Malgun Gothic" w:hAnsi="Malgun Gothic" w:hint="default"/>
      </w:rPr>
    </w:lvl>
    <w:lvl w:ilvl="1" w:tplc="7B8084C0">
      <w:start w:val="1"/>
      <w:numFmt w:val="bullet"/>
      <w:lvlText w:val="-"/>
      <w:lvlJc w:val="left"/>
      <w:pPr>
        <w:tabs>
          <w:tab w:val="num" w:pos="1440"/>
        </w:tabs>
        <w:ind w:left="1440" w:hanging="360"/>
      </w:pPr>
      <w:rPr>
        <w:rFonts w:ascii="Malgun Gothic" w:hAnsi="Malgun Gothic" w:hint="default"/>
      </w:rPr>
    </w:lvl>
    <w:lvl w:ilvl="2" w:tplc="55E82FEA" w:tentative="1">
      <w:start w:val="1"/>
      <w:numFmt w:val="bullet"/>
      <w:lvlText w:val="-"/>
      <w:lvlJc w:val="left"/>
      <w:pPr>
        <w:tabs>
          <w:tab w:val="num" w:pos="2160"/>
        </w:tabs>
        <w:ind w:left="2160" w:hanging="360"/>
      </w:pPr>
      <w:rPr>
        <w:rFonts w:ascii="Malgun Gothic" w:hAnsi="Malgun Gothic" w:hint="default"/>
      </w:rPr>
    </w:lvl>
    <w:lvl w:ilvl="3" w:tplc="831C292C" w:tentative="1">
      <w:start w:val="1"/>
      <w:numFmt w:val="bullet"/>
      <w:lvlText w:val="-"/>
      <w:lvlJc w:val="left"/>
      <w:pPr>
        <w:tabs>
          <w:tab w:val="num" w:pos="2880"/>
        </w:tabs>
        <w:ind w:left="2880" w:hanging="360"/>
      </w:pPr>
      <w:rPr>
        <w:rFonts w:ascii="Malgun Gothic" w:hAnsi="Malgun Gothic" w:hint="default"/>
      </w:rPr>
    </w:lvl>
    <w:lvl w:ilvl="4" w:tplc="F7E23CB2" w:tentative="1">
      <w:start w:val="1"/>
      <w:numFmt w:val="bullet"/>
      <w:lvlText w:val="-"/>
      <w:lvlJc w:val="left"/>
      <w:pPr>
        <w:tabs>
          <w:tab w:val="num" w:pos="3600"/>
        </w:tabs>
        <w:ind w:left="3600" w:hanging="360"/>
      </w:pPr>
      <w:rPr>
        <w:rFonts w:ascii="Malgun Gothic" w:hAnsi="Malgun Gothic" w:hint="default"/>
      </w:rPr>
    </w:lvl>
    <w:lvl w:ilvl="5" w:tplc="FE28F786" w:tentative="1">
      <w:start w:val="1"/>
      <w:numFmt w:val="bullet"/>
      <w:lvlText w:val="-"/>
      <w:lvlJc w:val="left"/>
      <w:pPr>
        <w:tabs>
          <w:tab w:val="num" w:pos="4320"/>
        </w:tabs>
        <w:ind w:left="4320" w:hanging="360"/>
      </w:pPr>
      <w:rPr>
        <w:rFonts w:ascii="Malgun Gothic" w:hAnsi="Malgun Gothic" w:hint="default"/>
      </w:rPr>
    </w:lvl>
    <w:lvl w:ilvl="6" w:tplc="8B2EE4B6" w:tentative="1">
      <w:start w:val="1"/>
      <w:numFmt w:val="bullet"/>
      <w:lvlText w:val="-"/>
      <w:lvlJc w:val="left"/>
      <w:pPr>
        <w:tabs>
          <w:tab w:val="num" w:pos="5040"/>
        </w:tabs>
        <w:ind w:left="5040" w:hanging="360"/>
      </w:pPr>
      <w:rPr>
        <w:rFonts w:ascii="Malgun Gothic" w:hAnsi="Malgun Gothic" w:hint="default"/>
      </w:rPr>
    </w:lvl>
    <w:lvl w:ilvl="7" w:tplc="C7C0AB1A" w:tentative="1">
      <w:start w:val="1"/>
      <w:numFmt w:val="bullet"/>
      <w:lvlText w:val="-"/>
      <w:lvlJc w:val="left"/>
      <w:pPr>
        <w:tabs>
          <w:tab w:val="num" w:pos="5760"/>
        </w:tabs>
        <w:ind w:left="5760" w:hanging="360"/>
      </w:pPr>
      <w:rPr>
        <w:rFonts w:ascii="Malgun Gothic" w:hAnsi="Malgun Gothic" w:hint="default"/>
      </w:rPr>
    </w:lvl>
    <w:lvl w:ilvl="8" w:tplc="747422E8" w:tentative="1">
      <w:start w:val="1"/>
      <w:numFmt w:val="bullet"/>
      <w:lvlText w:val="-"/>
      <w:lvlJc w:val="left"/>
      <w:pPr>
        <w:tabs>
          <w:tab w:val="num" w:pos="6480"/>
        </w:tabs>
        <w:ind w:left="6480" w:hanging="360"/>
      </w:pPr>
      <w:rPr>
        <w:rFonts w:ascii="Malgun Gothic" w:hAnsi="Malgun Gothic" w:hint="default"/>
      </w:rPr>
    </w:lvl>
  </w:abstractNum>
  <w:abstractNum w:abstractNumId="29"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627A23A0"/>
    <w:multiLevelType w:val="hybridMultilevel"/>
    <w:tmpl w:val="E8F8320C"/>
    <w:lvl w:ilvl="0" w:tplc="04090003">
      <w:start w:val="1"/>
      <w:numFmt w:val="bullet"/>
      <w:lvlText w:val="o"/>
      <w:lvlJc w:val="left"/>
      <w:pPr>
        <w:ind w:left="1520" w:hanging="360"/>
      </w:pPr>
      <w:rPr>
        <w:rFonts w:ascii="Courier New" w:hAnsi="Courier New" w:cs="Courier New" w:hint="default"/>
      </w:rPr>
    </w:lvl>
    <w:lvl w:ilvl="1" w:tplc="04090003">
      <w:start w:val="1"/>
      <w:numFmt w:val="bullet"/>
      <w:lvlText w:val="o"/>
      <w:lvlJc w:val="left"/>
      <w:pPr>
        <w:ind w:left="2240" w:hanging="360"/>
      </w:pPr>
      <w:rPr>
        <w:rFonts w:ascii="Courier New" w:hAnsi="Courier New" w:cs="Courier New" w:hint="default"/>
      </w:rPr>
    </w:lvl>
    <w:lvl w:ilvl="2" w:tplc="04090005" w:tentative="1">
      <w:start w:val="1"/>
      <w:numFmt w:val="bullet"/>
      <w:lvlText w:val=""/>
      <w:lvlJc w:val="left"/>
      <w:pPr>
        <w:ind w:left="2960" w:hanging="360"/>
      </w:pPr>
      <w:rPr>
        <w:rFonts w:ascii="Wingdings" w:hAnsi="Wingdings" w:hint="default"/>
      </w:rPr>
    </w:lvl>
    <w:lvl w:ilvl="3" w:tplc="04090001" w:tentative="1">
      <w:start w:val="1"/>
      <w:numFmt w:val="bullet"/>
      <w:lvlText w:val=""/>
      <w:lvlJc w:val="left"/>
      <w:pPr>
        <w:ind w:left="3680" w:hanging="360"/>
      </w:pPr>
      <w:rPr>
        <w:rFonts w:ascii="Symbol" w:hAnsi="Symbol" w:hint="default"/>
      </w:rPr>
    </w:lvl>
    <w:lvl w:ilvl="4" w:tplc="04090003" w:tentative="1">
      <w:start w:val="1"/>
      <w:numFmt w:val="bullet"/>
      <w:lvlText w:val="o"/>
      <w:lvlJc w:val="left"/>
      <w:pPr>
        <w:ind w:left="4400" w:hanging="360"/>
      </w:pPr>
      <w:rPr>
        <w:rFonts w:ascii="Courier New" w:hAnsi="Courier New" w:cs="Courier New" w:hint="default"/>
      </w:rPr>
    </w:lvl>
    <w:lvl w:ilvl="5" w:tplc="04090005" w:tentative="1">
      <w:start w:val="1"/>
      <w:numFmt w:val="bullet"/>
      <w:lvlText w:val=""/>
      <w:lvlJc w:val="left"/>
      <w:pPr>
        <w:ind w:left="5120" w:hanging="360"/>
      </w:pPr>
      <w:rPr>
        <w:rFonts w:ascii="Wingdings" w:hAnsi="Wingdings" w:hint="default"/>
      </w:rPr>
    </w:lvl>
    <w:lvl w:ilvl="6" w:tplc="04090001" w:tentative="1">
      <w:start w:val="1"/>
      <w:numFmt w:val="bullet"/>
      <w:lvlText w:val=""/>
      <w:lvlJc w:val="left"/>
      <w:pPr>
        <w:ind w:left="5840" w:hanging="360"/>
      </w:pPr>
      <w:rPr>
        <w:rFonts w:ascii="Symbol" w:hAnsi="Symbol" w:hint="default"/>
      </w:rPr>
    </w:lvl>
    <w:lvl w:ilvl="7" w:tplc="04090003" w:tentative="1">
      <w:start w:val="1"/>
      <w:numFmt w:val="bullet"/>
      <w:lvlText w:val="o"/>
      <w:lvlJc w:val="left"/>
      <w:pPr>
        <w:ind w:left="6560" w:hanging="360"/>
      </w:pPr>
      <w:rPr>
        <w:rFonts w:ascii="Courier New" w:hAnsi="Courier New" w:cs="Courier New" w:hint="default"/>
      </w:rPr>
    </w:lvl>
    <w:lvl w:ilvl="8" w:tplc="04090005" w:tentative="1">
      <w:start w:val="1"/>
      <w:numFmt w:val="bullet"/>
      <w:lvlText w:val=""/>
      <w:lvlJc w:val="left"/>
      <w:pPr>
        <w:ind w:left="7280" w:hanging="360"/>
      </w:pPr>
      <w:rPr>
        <w:rFonts w:ascii="Wingdings" w:hAnsi="Wingdings" w:hint="default"/>
      </w:rPr>
    </w:lvl>
  </w:abstractNum>
  <w:abstractNum w:abstractNumId="31" w15:restartNumberingAfterBreak="0">
    <w:nsid w:val="634F2C72"/>
    <w:multiLevelType w:val="hybridMultilevel"/>
    <w:tmpl w:val="8F82E84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AC67A5C"/>
    <w:multiLevelType w:val="hybridMultilevel"/>
    <w:tmpl w:val="EE3C1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B5E3A92"/>
    <w:multiLevelType w:val="hybridMultilevel"/>
    <w:tmpl w:val="82AEDE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B9449E4"/>
    <w:multiLevelType w:val="hybridMultilevel"/>
    <w:tmpl w:val="EE26C17C"/>
    <w:lvl w:ilvl="0" w:tplc="DE0AACC6">
      <w:start w:val="2075"/>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0" w:hanging="360"/>
      </w:pPr>
      <w:rPr>
        <w:rFonts w:ascii="Courier New" w:hAnsi="Courier New" w:cs="Courier New" w:hint="default"/>
      </w:rPr>
    </w:lvl>
    <w:lvl w:ilvl="2" w:tplc="04090005">
      <w:start w:val="1"/>
      <w:numFmt w:val="bullet"/>
      <w:lvlText w:val=""/>
      <w:lvlJc w:val="left"/>
      <w:pPr>
        <w:ind w:left="720" w:hanging="360"/>
      </w:pPr>
      <w:rPr>
        <w:rFonts w:ascii="Wingdings" w:hAnsi="Wingdings" w:hint="default"/>
      </w:rPr>
    </w:lvl>
    <w:lvl w:ilvl="3" w:tplc="04090001">
      <w:start w:val="1"/>
      <w:numFmt w:val="bullet"/>
      <w:lvlText w:val=""/>
      <w:lvlJc w:val="left"/>
      <w:pPr>
        <w:ind w:left="1440" w:hanging="360"/>
      </w:pPr>
      <w:rPr>
        <w:rFonts w:ascii="Symbol" w:hAnsi="Symbol" w:hint="default"/>
      </w:rPr>
    </w:lvl>
    <w:lvl w:ilvl="4" w:tplc="04090003" w:tentative="1">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35" w15:restartNumberingAfterBreak="0">
    <w:nsid w:val="6BC544ED"/>
    <w:multiLevelType w:val="hybridMultilevel"/>
    <w:tmpl w:val="063EF1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F9A2D1C"/>
    <w:multiLevelType w:val="hybridMultilevel"/>
    <w:tmpl w:val="74AC6F08"/>
    <w:lvl w:ilvl="0" w:tplc="04C2C6BA">
      <w:start w:val="1"/>
      <w:numFmt w:val="bullet"/>
      <w:lvlText w:val="•"/>
      <w:lvlJc w:val="left"/>
      <w:pPr>
        <w:tabs>
          <w:tab w:val="num" w:pos="720"/>
        </w:tabs>
        <w:ind w:left="720" w:hanging="360"/>
      </w:pPr>
      <w:rPr>
        <w:rFonts w:ascii="Arial" w:hAnsi="Arial" w:hint="default"/>
      </w:rPr>
    </w:lvl>
    <w:lvl w:ilvl="1" w:tplc="49F478EA">
      <w:start w:val="514"/>
      <w:numFmt w:val="bullet"/>
      <w:lvlText w:val="–"/>
      <w:lvlJc w:val="left"/>
      <w:pPr>
        <w:tabs>
          <w:tab w:val="num" w:pos="1440"/>
        </w:tabs>
        <w:ind w:left="1440" w:hanging="360"/>
      </w:pPr>
      <w:rPr>
        <w:rFonts w:ascii="Arial" w:hAnsi="Arial" w:hint="default"/>
      </w:rPr>
    </w:lvl>
    <w:lvl w:ilvl="2" w:tplc="492EC7D6">
      <w:start w:val="1"/>
      <w:numFmt w:val="bullet"/>
      <w:lvlText w:val="•"/>
      <w:lvlJc w:val="left"/>
      <w:pPr>
        <w:tabs>
          <w:tab w:val="num" w:pos="2160"/>
        </w:tabs>
        <w:ind w:left="2160" w:hanging="360"/>
      </w:pPr>
      <w:rPr>
        <w:rFonts w:ascii="Arial" w:hAnsi="Arial" w:hint="default"/>
      </w:rPr>
    </w:lvl>
    <w:lvl w:ilvl="3" w:tplc="05D88C10" w:tentative="1">
      <w:start w:val="1"/>
      <w:numFmt w:val="bullet"/>
      <w:lvlText w:val="•"/>
      <w:lvlJc w:val="left"/>
      <w:pPr>
        <w:tabs>
          <w:tab w:val="num" w:pos="2880"/>
        </w:tabs>
        <w:ind w:left="2880" w:hanging="360"/>
      </w:pPr>
      <w:rPr>
        <w:rFonts w:ascii="Arial" w:hAnsi="Arial" w:hint="default"/>
      </w:rPr>
    </w:lvl>
    <w:lvl w:ilvl="4" w:tplc="E8BE718A" w:tentative="1">
      <w:start w:val="1"/>
      <w:numFmt w:val="bullet"/>
      <w:lvlText w:val="•"/>
      <w:lvlJc w:val="left"/>
      <w:pPr>
        <w:tabs>
          <w:tab w:val="num" w:pos="3600"/>
        </w:tabs>
        <w:ind w:left="3600" w:hanging="360"/>
      </w:pPr>
      <w:rPr>
        <w:rFonts w:ascii="Arial" w:hAnsi="Arial" w:hint="default"/>
      </w:rPr>
    </w:lvl>
    <w:lvl w:ilvl="5" w:tplc="51187258" w:tentative="1">
      <w:start w:val="1"/>
      <w:numFmt w:val="bullet"/>
      <w:lvlText w:val="•"/>
      <w:lvlJc w:val="left"/>
      <w:pPr>
        <w:tabs>
          <w:tab w:val="num" w:pos="4320"/>
        </w:tabs>
        <w:ind w:left="4320" w:hanging="360"/>
      </w:pPr>
      <w:rPr>
        <w:rFonts w:ascii="Arial" w:hAnsi="Arial" w:hint="default"/>
      </w:rPr>
    </w:lvl>
    <w:lvl w:ilvl="6" w:tplc="3D4AC744" w:tentative="1">
      <w:start w:val="1"/>
      <w:numFmt w:val="bullet"/>
      <w:lvlText w:val="•"/>
      <w:lvlJc w:val="left"/>
      <w:pPr>
        <w:tabs>
          <w:tab w:val="num" w:pos="5040"/>
        </w:tabs>
        <w:ind w:left="5040" w:hanging="360"/>
      </w:pPr>
      <w:rPr>
        <w:rFonts w:ascii="Arial" w:hAnsi="Arial" w:hint="default"/>
      </w:rPr>
    </w:lvl>
    <w:lvl w:ilvl="7" w:tplc="07B64498" w:tentative="1">
      <w:start w:val="1"/>
      <w:numFmt w:val="bullet"/>
      <w:lvlText w:val="•"/>
      <w:lvlJc w:val="left"/>
      <w:pPr>
        <w:tabs>
          <w:tab w:val="num" w:pos="5760"/>
        </w:tabs>
        <w:ind w:left="5760" w:hanging="360"/>
      </w:pPr>
      <w:rPr>
        <w:rFonts w:ascii="Arial" w:hAnsi="Arial" w:hint="default"/>
      </w:rPr>
    </w:lvl>
    <w:lvl w:ilvl="8" w:tplc="E612CD7A"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08873B7"/>
    <w:multiLevelType w:val="hybridMultilevel"/>
    <w:tmpl w:val="129AF976"/>
    <w:lvl w:ilvl="0" w:tplc="05806688">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46172EF"/>
    <w:multiLevelType w:val="hybridMultilevel"/>
    <w:tmpl w:val="3B3618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0" w15:restartNumberingAfterBreak="0">
    <w:nsid w:val="76491468"/>
    <w:multiLevelType w:val="hybridMultilevel"/>
    <w:tmpl w:val="503455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680620F"/>
    <w:multiLevelType w:val="hybridMultilevel"/>
    <w:tmpl w:val="533A6F44"/>
    <w:lvl w:ilvl="0" w:tplc="04090001">
      <w:start w:val="1"/>
      <w:numFmt w:val="bullet"/>
      <w:lvlText w:val=""/>
      <w:lvlJc w:val="left"/>
      <w:pPr>
        <w:ind w:left="1520" w:hanging="360"/>
      </w:pPr>
      <w:rPr>
        <w:rFonts w:ascii="Symbol" w:hAnsi="Symbol" w:hint="default"/>
      </w:rPr>
    </w:lvl>
    <w:lvl w:ilvl="1" w:tplc="04090003" w:tentative="1">
      <w:start w:val="1"/>
      <w:numFmt w:val="bullet"/>
      <w:lvlText w:val="o"/>
      <w:lvlJc w:val="left"/>
      <w:pPr>
        <w:ind w:left="2240" w:hanging="360"/>
      </w:pPr>
      <w:rPr>
        <w:rFonts w:ascii="Courier New" w:hAnsi="Courier New" w:cs="Courier New" w:hint="default"/>
      </w:rPr>
    </w:lvl>
    <w:lvl w:ilvl="2" w:tplc="04090005" w:tentative="1">
      <w:start w:val="1"/>
      <w:numFmt w:val="bullet"/>
      <w:lvlText w:val=""/>
      <w:lvlJc w:val="left"/>
      <w:pPr>
        <w:ind w:left="2960" w:hanging="360"/>
      </w:pPr>
      <w:rPr>
        <w:rFonts w:ascii="Wingdings" w:hAnsi="Wingdings" w:hint="default"/>
      </w:rPr>
    </w:lvl>
    <w:lvl w:ilvl="3" w:tplc="04090001" w:tentative="1">
      <w:start w:val="1"/>
      <w:numFmt w:val="bullet"/>
      <w:lvlText w:val=""/>
      <w:lvlJc w:val="left"/>
      <w:pPr>
        <w:ind w:left="3680" w:hanging="360"/>
      </w:pPr>
      <w:rPr>
        <w:rFonts w:ascii="Symbol" w:hAnsi="Symbol" w:hint="default"/>
      </w:rPr>
    </w:lvl>
    <w:lvl w:ilvl="4" w:tplc="04090003" w:tentative="1">
      <w:start w:val="1"/>
      <w:numFmt w:val="bullet"/>
      <w:lvlText w:val="o"/>
      <w:lvlJc w:val="left"/>
      <w:pPr>
        <w:ind w:left="4400" w:hanging="360"/>
      </w:pPr>
      <w:rPr>
        <w:rFonts w:ascii="Courier New" w:hAnsi="Courier New" w:cs="Courier New" w:hint="default"/>
      </w:rPr>
    </w:lvl>
    <w:lvl w:ilvl="5" w:tplc="04090005" w:tentative="1">
      <w:start w:val="1"/>
      <w:numFmt w:val="bullet"/>
      <w:lvlText w:val=""/>
      <w:lvlJc w:val="left"/>
      <w:pPr>
        <w:ind w:left="5120" w:hanging="360"/>
      </w:pPr>
      <w:rPr>
        <w:rFonts w:ascii="Wingdings" w:hAnsi="Wingdings" w:hint="default"/>
      </w:rPr>
    </w:lvl>
    <w:lvl w:ilvl="6" w:tplc="04090001" w:tentative="1">
      <w:start w:val="1"/>
      <w:numFmt w:val="bullet"/>
      <w:lvlText w:val=""/>
      <w:lvlJc w:val="left"/>
      <w:pPr>
        <w:ind w:left="5840" w:hanging="360"/>
      </w:pPr>
      <w:rPr>
        <w:rFonts w:ascii="Symbol" w:hAnsi="Symbol" w:hint="default"/>
      </w:rPr>
    </w:lvl>
    <w:lvl w:ilvl="7" w:tplc="04090003" w:tentative="1">
      <w:start w:val="1"/>
      <w:numFmt w:val="bullet"/>
      <w:lvlText w:val="o"/>
      <w:lvlJc w:val="left"/>
      <w:pPr>
        <w:ind w:left="6560" w:hanging="360"/>
      </w:pPr>
      <w:rPr>
        <w:rFonts w:ascii="Courier New" w:hAnsi="Courier New" w:cs="Courier New" w:hint="default"/>
      </w:rPr>
    </w:lvl>
    <w:lvl w:ilvl="8" w:tplc="04090005" w:tentative="1">
      <w:start w:val="1"/>
      <w:numFmt w:val="bullet"/>
      <w:lvlText w:val=""/>
      <w:lvlJc w:val="left"/>
      <w:pPr>
        <w:ind w:left="7280" w:hanging="360"/>
      </w:pPr>
      <w:rPr>
        <w:rFonts w:ascii="Wingdings" w:hAnsi="Wingdings" w:hint="default"/>
      </w:rPr>
    </w:lvl>
  </w:abstractNum>
  <w:abstractNum w:abstractNumId="42" w15:restartNumberingAfterBreak="0">
    <w:nsid w:val="7ED755D7"/>
    <w:multiLevelType w:val="hybridMultilevel"/>
    <w:tmpl w:val="9C40EB0E"/>
    <w:lvl w:ilvl="0" w:tplc="05806688">
      <w:start w:val="1"/>
      <w:numFmt w:val="bullet"/>
      <w:lvlText w:val="•"/>
      <w:lvlJc w:val="left"/>
      <w:pPr>
        <w:tabs>
          <w:tab w:val="num" w:pos="720"/>
        </w:tabs>
        <w:ind w:left="720" w:hanging="360"/>
      </w:pPr>
      <w:rPr>
        <w:rFonts w:ascii="Arial" w:hAnsi="Arial" w:hint="default"/>
      </w:rPr>
    </w:lvl>
    <w:lvl w:ilvl="1" w:tplc="F530E802">
      <w:start w:val="1"/>
      <w:numFmt w:val="bullet"/>
      <w:lvlText w:val="•"/>
      <w:lvlJc w:val="left"/>
      <w:pPr>
        <w:tabs>
          <w:tab w:val="num" w:pos="1440"/>
        </w:tabs>
        <w:ind w:left="1440" w:hanging="360"/>
      </w:pPr>
      <w:rPr>
        <w:rFonts w:ascii="Arial" w:hAnsi="Arial" w:hint="default"/>
      </w:rPr>
    </w:lvl>
    <w:lvl w:ilvl="2" w:tplc="53AED598">
      <w:start w:val="58"/>
      <w:numFmt w:val="bullet"/>
      <w:lvlText w:val="•"/>
      <w:lvlJc w:val="left"/>
      <w:pPr>
        <w:tabs>
          <w:tab w:val="num" w:pos="2160"/>
        </w:tabs>
        <w:ind w:left="2160" w:hanging="360"/>
      </w:pPr>
      <w:rPr>
        <w:rFonts w:ascii="Arial" w:hAnsi="Arial" w:hint="default"/>
      </w:rPr>
    </w:lvl>
    <w:lvl w:ilvl="3" w:tplc="B0C4F4E8">
      <w:start w:val="58"/>
      <w:numFmt w:val="bullet"/>
      <w:lvlText w:val="–"/>
      <w:lvlJc w:val="left"/>
      <w:pPr>
        <w:tabs>
          <w:tab w:val="num" w:pos="2880"/>
        </w:tabs>
        <w:ind w:left="2880" w:hanging="360"/>
      </w:pPr>
      <w:rPr>
        <w:rFonts w:ascii="Arial" w:hAnsi="Arial" w:hint="default"/>
      </w:rPr>
    </w:lvl>
    <w:lvl w:ilvl="4" w:tplc="286AD398">
      <w:start w:val="58"/>
      <w:numFmt w:val="bullet"/>
      <w:lvlText w:val="»"/>
      <w:lvlJc w:val="left"/>
      <w:pPr>
        <w:tabs>
          <w:tab w:val="num" w:pos="3600"/>
        </w:tabs>
        <w:ind w:left="3600" w:hanging="360"/>
      </w:pPr>
      <w:rPr>
        <w:rFonts w:ascii="Arial" w:hAnsi="Arial" w:hint="default"/>
      </w:rPr>
    </w:lvl>
    <w:lvl w:ilvl="5" w:tplc="00DC3C44" w:tentative="1">
      <w:start w:val="1"/>
      <w:numFmt w:val="bullet"/>
      <w:lvlText w:val="•"/>
      <w:lvlJc w:val="left"/>
      <w:pPr>
        <w:tabs>
          <w:tab w:val="num" w:pos="4320"/>
        </w:tabs>
        <w:ind w:left="4320" w:hanging="360"/>
      </w:pPr>
      <w:rPr>
        <w:rFonts w:ascii="Arial" w:hAnsi="Arial" w:hint="default"/>
      </w:rPr>
    </w:lvl>
    <w:lvl w:ilvl="6" w:tplc="7FBE036C" w:tentative="1">
      <w:start w:val="1"/>
      <w:numFmt w:val="bullet"/>
      <w:lvlText w:val="•"/>
      <w:lvlJc w:val="left"/>
      <w:pPr>
        <w:tabs>
          <w:tab w:val="num" w:pos="5040"/>
        </w:tabs>
        <w:ind w:left="5040" w:hanging="360"/>
      </w:pPr>
      <w:rPr>
        <w:rFonts w:ascii="Arial" w:hAnsi="Arial" w:hint="default"/>
      </w:rPr>
    </w:lvl>
    <w:lvl w:ilvl="7" w:tplc="BB6245FE" w:tentative="1">
      <w:start w:val="1"/>
      <w:numFmt w:val="bullet"/>
      <w:lvlText w:val="•"/>
      <w:lvlJc w:val="left"/>
      <w:pPr>
        <w:tabs>
          <w:tab w:val="num" w:pos="5760"/>
        </w:tabs>
        <w:ind w:left="5760" w:hanging="360"/>
      </w:pPr>
      <w:rPr>
        <w:rFonts w:ascii="Arial" w:hAnsi="Arial" w:hint="default"/>
      </w:rPr>
    </w:lvl>
    <w:lvl w:ilvl="8" w:tplc="769CA22E"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EF53F51"/>
    <w:multiLevelType w:val="hybridMultilevel"/>
    <w:tmpl w:val="AA8897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18"/>
  </w:num>
  <w:num w:numId="3">
    <w:abstractNumId w:val="29"/>
  </w:num>
  <w:num w:numId="4">
    <w:abstractNumId w:val="39"/>
  </w:num>
  <w:num w:numId="5">
    <w:abstractNumId w:val="4"/>
  </w:num>
  <w:num w:numId="6">
    <w:abstractNumId w:val="32"/>
  </w:num>
  <w:num w:numId="7">
    <w:abstractNumId w:val="12"/>
  </w:num>
  <w:num w:numId="8">
    <w:abstractNumId w:val="11"/>
  </w:num>
  <w:num w:numId="9">
    <w:abstractNumId w:val="0"/>
  </w:num>
  <w:num w:numId="10">
    <w:abstractNumId w:val="21"/>
  </w:num>
  <w:num w:numId="11">
    <w:abstractNumId w:val="27"/>
  </w:num>
  <w:num w:numId="12">
    <w:abstractNumId w:val="8"/>
  </w:num>
  <w:num w:numId="13">
    <w:abstractNumId w:val="7"/>
  </w:num>
  <w:num w:numId="14">
    <w:abstractNumId w:val="36"/>
  </w:num>
  <w:num w:numId="15">
    <w:abstractNumId w:val="34"/>
  </w:num>
  <w:num w:numId="16">
    <w:abstractNumId w:val="42"/>
  </w:num>
  <w:num w:numId="17">
    <w:abstractNumId w:val="1"/>
  </w:num>
  <w:num w:numId="18">
    <w:abstractNumId w:val="24"/>
  </w:num>
  <w:num w:numId="19">
    <w:abstractNumId w:val="20"/>
  </w:num>
  <w:num w:numId="20">
    <w:abstractNumId w:val="13"/>
  </w:num>
  <w:num w:numId="21">
    <w:abstractNumId w:val="37"/>
  </w:num>
  <w:num w:numId="22">
    <w:abstractNumId w:val="40"/>
  </w:num>
  <w:num w:numId="23">
    <w:abstractNumId w:val="5"/>
  </w:num>
  <w:num w:numId="24">
    <w:abstractNumId w:val="14"/>
  </w:num>
  <w:num w:numId="25">
    <w:abstractNumId w:val="26"/>
  </w:num>
  <w:num w:numId="26">
    <w:abstractNumId w:val="41"/>
  </w:num>
  <w:num w:numId="27">
    <w:abstractNumId w:val="30"/>
  </w:num>
  <w:num w:numId="28">
    <w:abstractNumId w:val="25"/>
  </w:num>
  <w:num w:numId="29">
    <w:abstractNumId w:val="23"/>
  </w:num>
  <w:num w:numId="30">
    <w:abstractNumId w:val="6"/>
  </w:num>
  <w:num w:numId="31">
    <w:abstractNumId w:val="31"/>
  </w:num>
  <w:num w:numId="32">
    <w:abstractNumId w:val="43"/>
  </w:num>
  <w:num w:numId="33">
    <w:abstractNumId w:val="10"/>
  </w:num>
  <w:num w:numId="34">
    <w:abstractNumId w:val="2"/>
  </w:num>
  <w:num w:numId="35">
    <w:abstractNumId w:val="28"/>
  </w:num>
  <w:num w:numId="36">
    <w:abstractNumId w:val="33"/>
  </w:num>
  <w:num w:numId="37">
    <w:abstractNumId w:val="15"/>
  </w:num>
  <w:num w:numId="38">
    <w:abstractNumId w:val="35"/>
  </w:num>
  <w:num w:numId="39">
    <w:abstractNumId w:val="3"/>
  </w:num>
  <w:num w:numId="40">
    <w:abstractNumId w:val="16"/>
  </w:num>
  <w:num w:numId="41">
    <w:abstractNumId w:val="19"/>
  </w:num>
  <w:num w:numId="42">
    <w:abstractNumId w:val="22"/>
  </w:num>
  <w:num w:numId="43">
    <w:abstractNumId w:val="17"/>
  </w:num>
  <w:num w:numId="44">
    <w:abstractNumId w:val="3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975"/>
    <w:rsid w:val="00001C76"/>
    <w:rsid w:val="000020C0"/>
    <w:rsid w:val="00002A92"/>
    <w:rsid w:val="00002ACA"/>
    <w:rsid w:val="000033A8"/>
    <w:rsid w:val="00003595"/>
    <w:rsid w:val="00004076"/>
    <w:rsid w:val="00005774"/>
    <w:rsid w:val="0000711A"/>
    <w:rsid w:val="00010921"/>
    <w:rsid w:val="00011005"/>
    <w:rsid w:val="00011A53"/>
    <w:rsid w:val="00011FB1"/>
    <w:rsid w:val="00012357"/>
    <w:rsid w:val="00012D3C"/>
    <w:rsid w:val="0001401B"/>
    <w:rsid w:val="000167DF"/>
    <w:rsid w:val="0001695D"/>
    <w:rsid w:val="000172F4"/>
    <w:rsid w:val="00020103"/>
    <w:rsid w:val="000210FF"/>
    <w:rsid w:val="00021CA4"/>
    <w:rsid w:val="00022194"/>
    <w:rsid w:val="00022677"/>
    <w:rsid w:val="00022C4C"/>
    <w:rsid w:val="00030EA8"/>
    <w:rsid w:val="00032854"/>
    <w:rsid w:val="00032C3F"/>
    <w:rsid w:val="00034828"/>
    <w:rsid w:val="000375ED"/>
    <w:rsid w:val="00040E01"/>
    <w:rsid w:val="0004152C"/>
    <w:rsid w:val="00043BB0"/>
    <w:rsid w:val="00044BAD"/>
    <w:rsid w:val="00045082"/>
    <w:rsid w:val="000468FC"/>
    <w:rsid w:val="00046AB8"/>
    <w:rsid w:val="00046EDE"/>
    <w:rsid w:val="0005019A"/>
    <w:rsid w:val="00051107"/>
    <w:rsid w:val="00051AFF"/>
    <w:rsid w:val="00052776"/>
    <w:rsid w:val="00053930"/>
    <w:rsid w:val="00053D32"/>
    <w:rsid w:val="0005416C"/>
    <w:rsid w:val="000543C0"/>
    <w:rsid w:val="000551A1"/>
    <w:rsid w:val="00055C55"/>
    <w:rsid w:val="00055EC9"/>
    <w:rsid w:val="00056B06"/>
    <w:rsid w:val="00056C0F"/>
    <w:rsid w:val="00057250"/>
    <w:rsid w:val="00057B34"/>
    <w:rsid w:val="00057CB5"/>
    <w:rsid w:val="00060151"/>
    <w:rsid w:val="000618B3"/>
    <w:rsid w:val="0006267E"/>
    <w:rsid w:val="000627C6"/>
    <w:rsid w:val="00063AC6"/>
    <w:rsid w:val="000642F7"/>
    <w:rsid w:val="00064714"/>
    <w:rsid w:val="00065630"/>
    <w:rsid w:val="00066CD2"/>
    <w:rsid w:val="00067AC4"/>
    <w:rsid w:val="00070921"/>
    <w:rsid w:val="00070FFF"/>
    <w:rsid w:val="0007119C"/>
    <w:rsid w:val="00072453"/>
    <w:rsid w:val="00073C42"/>
    <w:rsid w:val="000755B5"/>
    <w:rsid w:val="00076FF5"/>
    <w:rsid w:val="000775AB"/>
    <w:rsid w:val="00081722"/>
    <w:rsid w:val="00083457"/>
    <w:rsid w:val="00083DE3"/>
    <w:rsid w:val="0008447D"/>
    <w:rsid w:val="000851F6"/>
    <w:rsid w:val="00085288"/>
    <w:rsid w:val="00085629"/>
    <w:rsid w:val="000862ED"/>
    <w:rsid w:val="00086364"/>
    <w:rsid w:val="00086A31"/>
    <w:rsid w:val="00086C92"/>
    <w:rsid w:val="00087A29"/>
    <w:rsid w:val="00087EEE"/>
    <w:rsid w:val="00087F06"/>
    <w:rsid w:val="000902E8"/>
    <w:rsid w:val="0009060A"/>
    <w:rsid w:val="00090A0D"/>
    <w:rsid w:val="00090A57"/>
    <w:rsid w:val="00091C52"/>
    <w:rsid w:val="00092123"/>
    <w:rsid w:val="00093F97"/>
    <w:rsid w:val="00094B22"/>
    <w:rsid w:val="000951A6"/>
    <w:rsid w:val="00095CE3"/>
    <w:rsid w:val="0009739B"/>
    <w:rsid w:val="000974E1"/>
    <w:rsid w:val="000A1D31"/>
    <w:rsid w:val="000A26F4"/>
    <w:rsid w:val="000A5315"/>
    <w:rsid w:val="000A591F"/>
    <w:rsid w:val="000A6336"/>
    <w:rsid w:val="000A77A6"/>
    <w:rsid w:val="000B0B99"/>
    <w:rsid w:val="000B25B1"/>
    <w:rsid w:val="000B2B68"/>
    <w:rsid w:val="000B3629"/>
    <w:rsid w:val="000B3C92"/>
    <w:rsid w:val="000B4FD7"/>
    <w:rsid w:val="000B6B90"/>
    <w:rsid w:val="000C074E"/>
    <w:rsid w:val="000C14C1"/>
    <w:rsid w:val="000C1591"/>
    <w:rsid w:val="000C2DAC"/>
    <w:rsid w:val="000C3A4B"/>
    <w:rsid w:val="000C51B3"/>
    <w:rsid w:val="000C650F"/>
    <w:rsid w:val="000C7F88"/>
    <w:rsid w:val="000D00DD"/>
    <w:rsid w:val="000D095B"/>
    <w:rsid w:val="000D1026"/>
    <w:rsid w:val="000D19F4"/>
    <w:rsid w:val="000D25AC"/>
    <w:rsid w:val="000D395F"/>
    <w:rsid w:val="000D4806"/>
    <w:rsid w:val="000D5200"/>
    <w:rsid w:val="000D758A"/>
    <w:rsid w:val="000D76B6"/>
    <w:rsid w:val="000D77B5"/>
    <w:rsid w:val="000E0116"/>
    <w:rsid w:val="000E0248"/>
    <w:rsid w:val="000E2201"/>
    <w:rsid w:val="000E39DF"/>
    <w:rsid w:val="000E48A4"/>
    <w:rsid w:val="000E512F"/>
    <w:rsid w:val="000E7166"/>
    <w:rsid w:val="000E722C"/>
    <w:rsid w:val="000F0D83"/>
    <w:rsid w:val="000F273E"/>
    <w:rsid w:val="000F2916"/>
    <w:rsid w:val="000F3287"/>
    <w:rsid w:val="000F3460"/>
    <w:rsid w:val="000F3AB3"/>
    <w:rsid w:val="000F433B"/>
    <w:rsid w:val="000F5D7C"/>
    <w:rsid w:val="000F60C9"/>
    <w:rsid w:val="000F6C48"/>
    <w:rsid w:val="000F762B"/>
    <w:rsid w:val="0010007D"/>
    <w:rsid w:val="001009F2"/>
    <w:rsid w:val="00100CCE"/>
    <w:rsid w:val="00100E9E"/>
    <w:rsid w:val="0010112F"/>
    <w:rsid w:val="00101AC6"/>
    <w:rsid w:val="00101FE9"/>
    <w:rsid w:val="001023DC"/>
    <w:rsid w:val="001024A6"/>
    <w:rsid w:val="00102506"/>
    <w:rsid w:val="00102B3E"/>
    <w:rsid w:val="001038BF"/>
    <w:rsid w:val="00103FB1"/>
    <w:rsid w:val="00104BD6"/>
    <w:rsid w:val="001055F1"/>
    <w:rsid w:val="001065FA"/>
    <w:rsid w:val="001067FF"/>
    <w:rsid w:val="00106F9A"/>
    <w:rsid w:val="00107C3A"/>
    <w:rsid w:val="00111454"/>
    <w:rsid w:val="001119F5"/>
    <w:rsid w:val="00112A78"/>
    <w:rsid w:val="00113D8C"/>
    <w:rsid w:val="0011409A"/>
    <w:rsid w:val="00114EB4"/>
    <w:rsid w:val="001155B8"/>
    <w:rsid w:val="001173EB"/>
    <w:rsid w:val="00117B15"/>
    <w:rsid w:val="00117EB7"/>
    <w:rsid w:val="00120B93"/>
    <w:rsid w:val="00121508"/>
    <w:rsid w:val="0012156A"/>
    <w:rsid w:val="00121AC2"/>
    <w:rsid w:val="00122BB4"/>
    <w:rsid w:val="00122E92"/>
    <w:rsid w:val="0012303A"/>
    <w:rsid w:val="00123B51"/>
    <w:rsid w:val="00124B71"/>
    <w:rsid w:val="00125B28"/>
    <w:rsid w:val="00125E89"/>
    <w:rsid w:val="00127AAA"/>
    <w:rsid w:val="00127AD3"/>
    <w:rsid w:val="0013023F"/>
    <w:rsid w:val="0013041F"/>
    <w:rsid w:val="00130A5C"/>
    <w:rsid w:val="00131748"/>
    <w:rsid w:val="00132793"/>
    <w:rsid w:val="00132CCB"/>
    <w:rsid w:val="00133026"/>
    <w:rsid w:val="001342C1"/>
    <w:rsid w:val="00135071"/>
    <w:rsid w:val="00135970"/>
    <w:rsid w:val="00135EB0"/>
    <w:rsid w:val="00136E4B"/>
    <w:rsid w:val="00137048"/>
    <w:rsid w:val="00137383"/>
    <w:rsid w:val="001379DE"/>
    <w:rsid w:val="00140E28"/>
    <w:rsid w:val="0014343A"/>
    <w:rsid w:val="00143869"/>
    <w:rsid w:val="00146DE6"/>
    <w:rsid w:val="001471E4"/>
    <w:rsid w:val="00147305"/>
    <w:rsid w:val="001503B7"/>
    <w:rsid w:val="001536E6"/>
    <w:rsid w:val="0015445A"/>
    <w:rsid w:val="00154747"/>
    <w:rsid w:val="00154BFC"/>
    <w:rsid w:val="00155C6F"/>
    <w:rsid w:val="00156504"/>
    <w:rsid w:val="0015718B"/>
    <w:rsid w:val="00162392"/>
    <w:rsid w:val="0016284B"/>
    <w:rsid w:val="001639BD"/>
    <w:rsid w:val="00164498"/>
    <w:rsid w:val="001649A0"/>
    <w:rsid w:val="0016551E"/>
    <w:rsid w:val="00165969"/>
    <w:rsid w:val="0016793B"/>
    <w:rsid w:val="00167D7B"/>
    <w:rsid w:val="00167F3F"/>
    <w:rsid w:val="0017022D"/>
    <w:rsid w:val="0017033E"/>
    <w:rsid w:val="00170CD5"/>
    <w:rsid w:val="00171E74"/>
    <w:rsid w:val="00172663"/>
    <w:rsid w:val="0017440E"/>
    <w:rsid w:val="00176B67"/>
    <w:rsid w:val="00180AD4"/>
    <w:rsid w:val="00181899"/>
    <w:rsid w:val="00182E06"/>
    <w:rsid w:val="00184848"/>
    <w:rsid w:val="00184E17"/>
    <w:rsid w:val="001850D6"/>
    <w:rsid w:val="00186FB0"/>
    <w:rsid w:val="001911AC"/>
    <w:rsid w:val="0019122B"/>
    <w:rsid w:val="0019161B"/>
    <w:rsid w:val="00192793"/>
    <w:rsid w:val="00192E87"/>
    <w:rsid w:val="00193FF7"/>
    <w:rsid w:val="0019499E"/>
    <w:rsid w:val="00195335"/>
    <w:rsid w:val="00195A55"/>
    <w:rsid w:val="0019664A"/>
    <w:rsid w:val="00196998"/>
    <w:rsid w:val="00197BA4"/>
    <w:rsid w:val="001A2884"/>
    <w:rsid w:val="001A3681"/>
    <w:rsid w:val="001A3AFD"/>
    <w:rsid w:val="001A3EC6"/>
    <w:rsid w:val="001A53DF"/>
    <w:rsid w:val="001A56C7"/>
    <w:rsid w:val="001B010D"/>
    <w:rsid w:val="001B0D42"/>
    <w:rsid w:val="001B1FAD"/>
    <w:rsid w:val="001B2DDE"/>
    <w:rsid w:val="001B3426"/>
    <w:rsid w:val="001B3602"/>
    <w:rsid w:val="001B3EB1"/>
    <w:rsid w:val="001B620C"/>
    <w:rsid w:val="001B7B86"/>
    <w:rsid w:val="001C06AA"/>
    <w:rsid w:val="001C18CE"/>
    <w:rsid w:val="001C3694"/>
    <w:rsid w:val="001C46E4"/>
    <w:rsid w:val="001C4974"/>
    <w:rsid w:val="001C4ABD"/>
    <w:rsid w:val="001C4B5D"/>
    <w:rsid w:val="001C64AB"/>
    <w:rsid w:val="001C6890"/>
    <w:rsid w:val="001C76C5"/>
    <w:rsid w:val="001C7CCA"/>
    <w:rsid w:val="001C7F5D"/>
    <w:rsid w:val="001D04EE"/>
    <w:rsid w:val="001D07C2"/>
    <w:rsid w:val="001D0B51"/>
    <w:rsid w:val="001D0D60"/>
    <w:rsid w:val="001D0FD7"/>
    <w:rsid w:val="001D24C3"/>
    <w:rsid w:val="001D2861"/>
    <w:rsid w:val="001D4091"/>
    <w:rsid w:val="001D51D6"/>
    <w:rsid w:val="001D524E"/>
    <w:rsid w:val="001D607B"/>
    <w:rsid w:val="001D61B8"/>
    <w:rsid w:val="001D6403"/>
    <w:rsid w:val="001D7236"/>
    <w:rsid w:val="001D7A27"/>
    <w:rsid w:val="001E01A3"/>
    <w:rsid w:val="001E07CB"/>
    <w:rsid w:val="001E083E"/>
    <w:rsid w:val="001E2551"/>
    <w:rsid w:val="001E5959"/>
    <w:rsid w:val="001E6796"/>
    <w:rsid w:val="001F0729"/>
    <w:rsid w:val="001F1388"/>
    <w:rsid w:val="001F1669"/>
    <w:rsid w:val="001F2638"/>
    <w:rsid w:val="001F3815"/>
    <w:rsid w:val="001F3BD8"/>
    <w:rsid w:val="001F4519"/>
    <w:rsid w:val="001F5199"/>
    <w:rsid w:val="001F6301"/>
    <w:rsid w:val="001F6F91"/>
    <w:rsid w:val="001F7B02"/>
    <w:rsid w:val="001F7C2B"/>
    <w:rsid w:val="00201E9A"/>
    <w:rsid w:val="00202049"/>
    <w:rsid w:val="00202279"/>
    <w:rsid w:val="00202BE0"/>
    <w:rsid w:val="002044FD"/>
    <w:rsid w:val="0020450B"/>
    <w:rsid w:val="00205935"/>
    <w:rsid w:val="00205DF1"/>
    <w:rsid w:val="0021069C"/>
    <w:rsid w:val="0021177B"/>
    <w:rsid w:val="002128BC"/>
    <w:rsid w:val="00212B99"/>
    <w:rsid w:val="0021354A"/>
    <w:rsid w:val="00213AE9"/>
    <w:rsid w:val="00214221"/>
    <w:rsid w:val="0021488F"/>
    <w:rsid w:val="00214EA5"/>
    <w:rsid w:val="002154B8"/>
    <w:rsid w:val="002155AA"/>
    <w:rsid w:val="0021595D"/>
    <w:rsid w:val="002164F7"/>
    <w:rsid w:val="00216E93"/>
    <w:rsid w:val="00217130"/>
    <w:rsid w:val="0021730E"/>
    <w:rsid w:val="002177FD"/>
    <w:rsid w:val="00217AA4"/>
    <w:rsid w:val="00220CE6"/>
    <w:rsid w:val="00221014"/>
    <w:rsid w:val="00221965"/>
    <w:rsid w:val="00222B5E"/>
    <w:rsid w:val="00222D51"/>
    <w:rsid w:val="002231C0"/>
    <w:rsid w:val="002234ED"/>
    <w:rsid w:val="00223BC8"/>
    <w:rsid w:val="00223C65"/>
    <w:rsid w:val="00225263"/>
    <w:rsid w:val="00225F6B"/>
    <w:rsid w:val="00227E85"/>
    <w:rsid w:val="00230273"/>
    <w:rsid w:val="002302CD"/>
    <w:rsid w:val="00230A2E"/>
    <w:rsid w:val="002310AA"/>
    <w:rsid w:val="002318E5"/>
    <w:rsid w:val="00232DD2"/>
    <w:rsid w:val="00233868"/>
    <w:rsid w:val="00234E27"/>
    <w:rsid w:val="00235271"/>
    <w:rsid w:val="002354CF"/>
    <w:rsid w:val="00235759"/>
    <w:rsid w:val="00236BA6"/>
    <w:rsid w:val="0023789F"/>
    <w:rsid w:val="00237EB6"/>
    <w:rsid w:val="0024012A"/>
    <w:rsid w:val="00240808"/>
    <w:rsid w:val="00241C79"/>
    <w:rsid w:val="00242798"/>
    <w:rsid w:val="002428B8"/>
    <w:rsid w:val="00242921"/>
    <w:rsid w:val="00242E7E"/>
    <w:rsid w:val="00243720"/>
    <w:rsid w:val="00244EF2"/>
    <w:rsid w:val="00245C3D"/>
    <w:rsid w:val="002463EE"/>
    <w:rsid w:val="002469F1"/>
    <w:rsid w:val="0024758D"/>
    <w:rsid w:val="0025048D"/>
    <w:rsid w:val="00251DAC"/>
    <w:rsid w:val="00252177"/>
    <w:rsid w:val="0025287D"/>
    <w:rsid w:val="00252C0C"/>
    <w:rsid w:val="00253605"/>
    <w:rsid w:val="00254613"/>
    <w:rsid w:val="0025697E"/>
    <w:rsid w:val="00257528"/>
    <w:rsid w:val="002575EF"/>
    <w:rsid w:val="002576FF"/>
    <w:rsid w:val="00257F7E"/>
    <w:rsid w:val="0026001B"/>
    <w:rsid w:val="00261808"/>
    <w:rsid w:val="002624DF"/>
    <w:rsid w:val="00262587"/>
    <w:rsid w:val="00262D9E"/>
    <w:rsid w:val="002638DC"/>
    <w:rsid w:val="0026395D"/>
    <w:rsid w:val="002642C2"/>
    <w:rsid w:val="0026470F"/>
    <w:rsid w:val="00264DBB"/>
    <w:rsid w:val="00265619"/>
    <w:rsid w:val="0026577A"/>
    <w:rsid w:val="00266890"/>
    <w:rsid w:val="00266901"/>
    <w:rsid w:val="00266A3B"/>
    <w:rsid w:val="002679C3"/>
    <w:rsid w:val="002679D5"/>
    <w:rsid w:val="00267BC6"/>
    <w:rsid w:val="0027050B"/>
    <w:rsid w:val="00270C66"/>
    <w:rsid w:val="002714B9"/>
    <w:rsid w:val="00271FF4"/>
    <w:rsid w:val="00271FF9"/>
    <w:rsid w:val="002726F7"/>
    <w:rsid w:val="002738B0"/>
    <w:rsid w:val="002738CD"/>
    <w:rsid w:val="00274128"/>
    <w:rsid w:val="00274425"/>
    <w:rsid w:val="00274B12"/>
    <w:rsid w:val="002757AF"/>
    <w:rsid w:val="00275AA6"/>
    <w:rsid w:val="00275C05"/>
    <w:rsid w:val="0027602A"/>
    <w:rsid w:val="00277F82"/>
    <w:rsid w:val="00280698"/>
    <w:rsid w:val="00280A79"/>
    <w:rsid w:val="00280D04"/>
    <w:rsid w:val="00280DEA"/>
    <w:rsid w:val="002810D4"/>
    <w:rsid w:val="002823A4"/>
    <w:rsid w:val="00282DB7"/>
    <w:rsid w:val="00283135"/>
    <w:rsid w:val="002831F2"/>
    <w:rsid w:val="00284524"/>
    <w:rsid w:val="002852BE"/>
    <w:rsid w:val="002855A9"/>
    <w:rsid w:val="0028637B"/>
    <w:rsid w:val="00287951"/>
    <w:rsid w:val="00287F14"/>
    <w:rsid w:val="002904E3"/>
    <w:rsid w:val="00290AEF"/>
    <w:rsid w:val="00290BE2"/>
    <w:rsid w:val="0029296E"/>
    <w:rsid w:val="00293E6E"/>
    <w:rsid w:val="00294508"/>
    <w:rsid w:val="002958FD"/>
    <w:rsid w:val="00295B0A"/>
    <w:rsid w:val="00296433"/>
    <w:rsid w:val="00296E64"/>
    <w:rsid w:val="002A0C8F"/>
    <w:rsid w:val="002A1E47"/>
    <w:rsid w:val="002A3A3D"/>
    <w:rsid w:val="002A74D6"/>
    <w:rsid w:val="002B17A8"/>
    <w:rsid w:val="002B194E"/>
    <w:rsid w:val="002B3B3B"/>
    <w:rsid w:val="002B4C6E"/>
    <w:rsid w:val="002B5295"/>
    <w:rsid w:val="002B52C6"/>
    <w:rsid w:val="002B57DB"/>
    <w:rsid w:val="002B6BDA"/>
    <w:rsid w:val="002B71B0"/>
    <w:rsid w:val="002C0B30"/>
    <w:rsid w:val="002C0D28"/>
    <w:rsid w:val="002C1230"/>
    <w:rsid w:val="002C28D3"/>
    <w:rsid w:val="002C46A5"/>
    <w:rsid w:val="002C7109"/>
    <w:rsid w:val="002D06B4"/>
    <w:rsid w:val="002D233C"/>
    <w:rsid w:val="002D2EF7"/>
    <w:rsid w:val="002D488B"/>
    <w:rsid w:val="002D53AF"/>
    <w:rsid w:val="002D5B2B"/>
    <w:rsid w:val="002D5D95"/>
    <w:rsid w:val="002D6FEE"/>
    <w:rsid w:val="002D7534"/>
    <w:rsid w:val="002E11B9"/>
    <w:rsid w:val="002E15BC"/>
    <w:rsid w:val="002E2BE8"/>
    <w:rsid w:val="002E2CB4"/>
    <w:rsid w:val="002E315D"/>
    <w:rsid w:val="002E333E"/>
    <w:rsid w:val="002E39D5"/>
    <w:rsid w:val="002E5EB4"/>
    <w:rsid w:val="002E5EC2"/>
    <w:rsid w:val="002E60AB"/>
    <w:rsid w:val="002F00C5"/>
    <w:rsid w:val="002F11DE"/>
    <w:rsid w:val="002F28D8"/>
    <w:rsid w:val="002F2F5B"/>
    <w:rsid w:val="002F47AD"/>
    <w:rsid w:val="002F5790"/>
    <w:rsid w:val="002F6FEC"/>
    <w:rsid w:val="003006CA"/>
    <w:rsid w:val="0030336D"/>
    <w:rsid w:val="00303977"/>
    <w:rsid w:val="00303FBB"/>
    <w:rsid w:val="003052A7"/>
    <w:rsid w:val="003065FD"/>
    <w:rsid w:val="0031062D"/>
    <w:rsid w:val="00310B3E"/>
    <w:rsid w:val="003114E5"/>
    <w:rsid w:val="0031349A"/>
    <w:rsid w:val="00313945"/>
    <w:rsid w:val="00313DC6"/>
    <w:rsid w:val="00314E63"/>
    <w:rsid w:val="003155DC"/>
    <w:rsid w:val="00315A91"/>
    <w:rsid w:val="00316644"/>
    <w:rsid w:val="00316AD7"/>
    <w:rsid w:val="00316B82"/>
    <w:rsid w:val="00317BEA"/>
    <w:rsid w:val="00317FB1"/>
    <w:rsid w:val="0032021B"/>
    <w:rsid w:val="0032049A"/>
    <w:rsid w:val="003208B2"/>
    <w:rsid w:val="0032098B"/>
    <w:rsid w:val="003214AE"/>
    <w:rsid w:val="00321597"/>
    <w:rsid w:val="003217E5"/>
    <w:rsid w:val="00321823"/>
    <w:rsid w:val="00323455"/>
    <w:rsid w:val="003237AF"/>
    <w:rsid w:val="00324DCD"/>
    <w:rsid w:val="003250F2"/>
    <w:rsid w:val="003264AA"/>
    <w:rsid w:val="00326C84"/>
    <w:rsid w:val="0032714E"/>
    <w:rsid w:val="003272F0"/>
    <w:rsid w:val="003273E7"/>
    <w:rsid w:val="0032775A"/>
    <w:rsid w:val="00327DCF"/>
    <w:rsid w:val="0033129D"/>
    <w:rsid w:val="0033177E"/>
    <w:rsid w:val="003324E2"/>
    <w:rsid w:val="00332A23"/>
    <w:rsid w:val="003341BA"/>
    <w:rsid w:val="0033527C"/>
    <w:rsid w:val="0033544D"/>
    <w:rsid w:val="00336575"/>
    <w:rsid w:val="00336BCE"/>
    <w:rsid w:val="00337211"/>
    <w:rsid w:val="00337623"/>
    <w:rsid w:val="003417B3"/>
    <w:rsid w:val="00341CA9"/>
    <w:rsid w:val="0034437D"/>
    <w:rsid w:val="00344711"/>
    <w:rsid w:val="003447C2"/>
    <w:rsid w:val="00344954"/>
    <w:rsid w:val="003454CC"/>
    <w:rsid w:val="00345DEA"/>
    <w:rsid w:val="003476A1"/>
    <w:rsid w:val="00347E69"/>
    <w:rsid w:val="003514CD"/>
    <w:rsid w:val="003524BB"/>
    <w:rsid w:val="00353368"/>
    <w:rsid w:val="00353783"/>
    <w:rsid w:val="00353B91"/>
    <w:rsid w:val="00354C75"/>
    <w:rsid w:val="003552C8"/>
    <w:rsid w:val="00355426"/>
    <w:rsid w:val="00360211"/>
    <w:rsid w:val="00361538"/>
    <w:rsid w:val="00361D72"/>
    <w:rsid w:val="003626DE"/>
    <w:rsid w:val="00362D53"/>
    <w:rsid w:val="00362DB7"/>
    <w:rsid w:val="00363312"/>
    <w:rsid w:val="003636D3"/>
    <w:rsid w:val="00363F8E"/>
    <w:rsid w:val="00364A48"/>
    <w:rsid w:val="00364A9A"/>
    <w:rsid w:val="00366C0E"/>
    <w:rsid w:val="00367444"/>
    <w:rsid w:val="00367C76"/>
    <w:rsid w:val="00367F5B"/>
    <w:rsid w:val="0037239C"/>
    <w:rsid w:val="003731C8"/>
    <w:rsid w:val="003738D9"/>
    <w:rsid w:val="003739C4"/>
    <w:rsid w:val="00373F55"/>
    <w:rsid w:val="00373FE3"/>
    <w:rsid w:val="00377D5D"/>
    <w:rsid w:val="00380384"/>
    <w:rsid w:val="0038169D"/>
    <w:rsid w:val="00381784"/>
    <w:rsid w:val="003818F6"/>
    <w:rsid w:val="0038352B"/>
    <w:rsid w:val="00384654"/>
    <w:rsid w:val="0038584A"/>
    <w:rsid w:val="00386DE9"/>
    <w:rsid w:val="0038743A"/>
    <w:rsid w:val="0038777A"/>
    <w:rsid w:val="003877AE"/>
    <w:rsid w:val="00390D43"/>
    <w:rsid w:val="0039130B"/>
    <w:rsid w:val="00391AA1"/>
    <w:rsid w:val="0039247A"/>
    <w:rsid w:val="00392B69"/>
    <w:rsid w:val="00392E06"/>
    <w:rsid w:val="00393923"/>
    <w:rsid w:val="0039416B"/>
    <w:rsid w:val="0039435D"/>
    <w:rsid w:val="0039448A"/>
    <w:rsid w:val="003946C4"/>
    <w:rsid w:val="003947B1"/>
    <w:rsid w:val="00394CB0"/>
    <w:rsid w:val="0039593B"/>
    <w:rsid w:val="00395E02"/>
    <w:rsid w:val="00396217"/>
    <w:rsid w:val="00396FA7"/>
    <w:rsid w:val="003976FE"/>
    <w:rsid w:val="003A00D4"/>
    <w:rsid w:val="003A0B30"/>
    <w:rsid w:val="003A3639"/>
    <w:rsid w:val="003A4806"/>
    <w:rsid w:val="003A4F69"/>
    <w:rsid w:val="003A5396"/>
    <w:rsid w:val="003A55F1"/>
    <w:rsid w:val="003A5945"/>
    <w:rsid w:val="003A5D2B"/>
    <w:rsid w:val="003A69C3"/>
    <w:rsid w:val="003A730C"/>
    <w:rsid w:val="003A7B3B"/>
    <w:rsid w:val="003B0AC6"/>
    <w:rsid w:val="003B212A"/>
    <w:rsid w:val="003B33FB"/>
    <w:rsid w:val="003B43BD"/>
    <w:rsid w:val="003B48DB"/>
    <w:rsid w:val="003B784F"/>
    <w:rsid w:val="003C0353"/>
    <w:rsid w:val="003C13C6"/>
    <w:rsid w:val="003C1E94"/>
    <w:rsid w:val="003C2C5D"/>
    <w:rsid w:val="003C32F0"/>
    <w:rsid w:val="003C53D6"/>
    <w:rsid w:val="003C5A7F"/>
    <w:rsid w:val="003C5BAF"/>
    <w:rsid w:val="003C5ED0"/>
    <w:rsid w:val="003C6D64"/>
    <w:rsid w:val="003C73BB"/>
    <w:rsid w:val="003C748B"/>
    <w:rsid w:val="003D1649"/>
    <w:rsid w:val="003D3265"/>
    <w:rsid w:val="003D35F7"/>
    <w:rsid w:val="003D3E2E"/>
    <w:rsid w:val="003D44EF"/>
    <w:rsid w:val="003D5AA8"/>
    <w:rsid w:val="003D7370"/>
    <w:rsid w:val="003D79CD"/>
    <w:rsid w:val="003D7C61"/>
    <w:rsid w:val="003E079D"/>
    <w:rsid w:val="003E0FEE"/>
    <w:rsid w:val="003E141F"/>
    <w:rsid w:val="003E1753"/>
    <w:rsid w:val="003E2747"/>
    <w:rsid w:val="003E2779"/>
    <w:rsid w:val="003E2A85"/>
    <w:rsid w:val="003E633B"/>
    <w:rsid w:val="003E68FB"/>
    <w:rsid w:val="003F00C5"/>
    <w:rsid w:val="003F0727"/>
    <w:rsid w:val="003F0876"/>
    <w:rsid w:val="003F0A78"/>
    <w:rsid w:val="003F0E10"/>
    <w:rsid w:val="003F1546"/>
    <w:rsid w:val="003F1A3F"/>
    <w:rsid w:val="003F3471"/>
    <w:rsid w:val="003F4648"/>
    <w:rsid w:val="003F48AA"/>
    <w:rsid w:val="003F4981"/>
    <w:rsid w:val="003F4D6D"/>
    <w:rsid w:val="003F4E14"/>
    <w:rsid w:val="003F540A"/>
    <w:rsid w:val="003F680E"/>
    <w:rsid w:val="003F7398"/>
    <w:rsid w:val="0040034B"/>
    <w:rsid w:val="004005B5"/>
    <w:rsid w:val="004005CE"/>
    <w:rsid w:val="00401F93"/>
    <w:rsid w:val="00402AD2"/>
    <w:rsid w:val="00402CCB"/>
    <w:rsid w:val="0040329D"/>
    <w:rsid w:val="00403FD2"/>
    <w:rsid w:val="00404B4A"/>
    <w:rsid w:val="00405213"/>
    <w:rsid w:val="0040633D"/>
    <w:rsid w:val="004107E6"/>
    <w:rsid w:val="004112A9"/>
    <w:rsid w:val="00412AB3"/>
    <w:rsid w:val="00420853"/>
    <w:rsid w:val="00421E04"/>
    <w:rsid w:val="004239D8"/>
    <w:rsid w:val="00423FC7"/>
    <w:rsid w:val="004240D5"/>
    <w:rsid w:val="00424A72"/>
    <w:rsid w:val="00424D6E"/>
    <w:rsid w:val="004254DF"/>
    <w:rsid w:val="00427387"/>
    <w:rsid w:val="004300DC"/>
    <w:rsid w:val="00430452"/>
    <w:rsid w:val="0043075F"/>
    <w:rsid w:val="00430840"/>
    <w:rsid w:val="00432D00"/>
    <w:rsid w:val="00433489"/>
    <w:rsid w:val="00433A8A"/>
    <w:rsid w:val="00434309"/>
    <w:rsid w:val="00434E2E"/>
    <w:rsid w:val="004351C1"/>
    <w:rsid w:val="00436AEE"/>
    <w:rsid w:val="00437386"/>
    <w:rsid w:val="00440E60"/>
    <w:rsid w:val="0044112D"/>
    <w:rsid w:val="00441151"/>
    <w:rsid w:val="00442C0D"/>
    <w:rsid w:val="004430A5"/>
    <w:rsid w:val="00445D0F"/>
    <w:rsid w:val="004471CE"/>
    <w:rsid w:val="004475E2"/>
    <w:rsid w:val="00447AB6"/>
    <w:rsid w:val="00450C48"/>
    <w:rsid w:val="00452E54"/>
    <w:rsid w:val="004530DE"/>
    <w:rsid w:val="0045322C"/>
    <w:rsid w:val="004540F0"/>
    <w:rsid w:val="0045421C"/>
    <w:rsid w:val="00454D22"/>
    <w:rsid w:val="00455672"/>
    <w:rsid w:val="0045599F"/>
    <w:rsid w:val="00455E7A"/>
    <w:rsid w:val="00461C28"/>
    <w:rsid w:val="004624A3"/>
    <w:rsid w:val="00464B4D"/>
    <w:rsid w:val="00464F72"/>
    <w:rsid w:val="00465F1F"/>
    <w:rsid w:val="0046666D"/>
    <w:rsid w:val="00467411"/>
    <w:rsid w:val="00467A29"/>
    <w:rsid w:val="0047010E"/>
    <w:rsid w:val="00470D36"/>
    <w:rsid w:val="0047128F"/>
    <w:rsid w:val="00471516"/>
    <w:rsid w:val="00473944"/>
    <w:rsid w:val="00474060"/>
    <w:rsid w:val="00474BDC"/>
    <w:rsid w:val="00474D44"/>
    <w:rsid w:val="00474F44"/>
    <w:rsid w:val="0047692C"/>
    <w:rsid w:val="00477672"/>
    <w:rsid w:val="004800A8"/>
    <w:rsid w:val="0048015F"/>
    <w:rsid w:val="00481D44"/>
    <w:rsid w:val="00481F84"/>
    <w:rsid w:val="00484F59"/>
    <w:rsid w:val="00485376"/>
    <w:rsid w:val="0048570F"/>
    <w:rsid w:val="00485F12"/>
    <w:rsid w:val="00485FF9"/>
    <w:rsid w:val="00486540"/>
    <w:rsid w:val="00486849"/>
    <w:rsid w:val="00487090"/>
    <w:rsid w:val="0048731E"/>
    <w:rsid w:val="0049325B"/>
    <w:rsid w:val="00493A37"/>
    <w:rsid w:val="004A0A28"/>
    <w:rsid w:val="004A2F45"/>
    <w:rsid w:val="004A360E"/>
    <w:rsid w:val="004A3A6F"/>
    <w:rsid w:val="004A43B9"/>
    <w:rsid w:val="004A4659"/>
    <w:rsid w:val="004A4968"/>
    <w:rsid w:val="004A53B5"/>
    <w:rsid w:val="004A55F9"/>
    <w:rsid w:val="004A5660"/>
    <w:rsid w:val="004A574A"/>
    <w:rsid w:val="004A5A2F"/>
    <w:rsid w:val="004A73B7"/>
    <w:rsid w:val="004B02A2"/>
    <w:rsid w:val="004B0763"/>
    <w:rsid w:val="004B07D4"/>
    <w:rsid w:val="004B1566"/>
    <w:rsid w:val="004B2890"/>
    <w:rsid w:val="004B37FF"/>
    <w:rsid w:val="004B38E1"/>
    <w:rsid w:val="004B3B72"/>
    <w:rsid w:val="004B3FBF"/>
    <w:rsid w:val="004B461B"/>
    <w:rsid w:val="004B4C96"/>
    <w:rsid w:val="004C19B9"/>
    <w:rsid w:val="004C1AC1"/>
    <w:rsid w:val="004C2115"/>
    <w:rsid w:val="004C31D3"/>
    <w:rsid w:val="004C3C38"/>
    <w:rsid w:val="004C4315"/>
    <w:rsid w:val="004C48A5"/>
    <w:rsid w:val="004C5D06"/>
    <w:rsid w:val="004C657C"/>
    <w:rsid w:val="004C67F9"/>
    <w:rsid w:val="004D0215"/>
    <w:rsid w:val="004D026D"/>
    <w:rsid w:val="004D04E2"/>
    <w:rsid w:val="004D108A"/>
    <w:rsid w:val="004D111C"/>
    <w:rsid w:val="004D1234"/>
    <w:rsid w:val="004D159C"/>
    <w:rsid w:val="004D1C4B"/>
    <w:rsid w:val="004D1EEB"/>
    <w:rsid w:val="004D3097"/>
    <w:rsid w:val="004D4638"/>
    <w:rsid w:val="004D54C6"/>
    <w:rsid w:val="004D5B92"/>
    <w:rsid w:val="004D5F15"/>
    <w:rsid w:val="004D6791"/>
    <w:rsid w:val="004D67FB"/>
    <w:rsid w:val="004D7291"/>
    <w:rsid w:val="004D7CAE"/>
    <w:rsid w:val="004D7CE2"/>
    <w:rsid w:val="004D7E91"/>
    <w:rsid w:val="004E03B4"/>
    <w:rsid w:val="004E5326"/>
    <w:rsid w:val="004E5728"/>
    <w:rsid w:val="004E577A"/>
    <w:rsid w:val="004E6011"/>
    <w:rsid w:val="004E7C47"/>
    <w:rsid w:val="004F040F"/>
    <w:rsid w:val="004F120F"/>
    <w:rsid w:val="004F17BB"/>
    <w:rsid w:val="004F2D72"/>
    <w:rsid w:val="004F2FDF"/>
    <w:rsid w:val="00501E42"/>
    <w:rsid w:val="005036C5"/>
    <w:rsid w:val="00503993"/>
    <w:rsid w:val="00503F9D"/>
    <w:rsid w:val="0050552A"/>
    <w:rsid w:val="00507091"/>
    <w:rsid w:val="005074C4"/>
    <w:rsid w:val="005079CC"/>
    <w:rsid w:val="005109A0"/>
    <w:rsid w:val="00514BFF"/>
    <w:rsid w:val="00514ED9"/>
    <w:rsid w:val="00515B5F"/>
    <w:rsid w:val="00515DAE"/>
    <w:rsid w:val="0051746B"/>
    <w:rsid w:val="00520036"/>
    <w:rsid w:val="0052348B"/>
    <w:rsid w:val="00526A64"/>
    <w:rsid w:val="00526BC4"/>
    <w:rsid w:val="00526FD1"/>
    <w:rsid w:val="00527339"/>
    <w:rsid w:val="00527FA8"/>
    <w:rsid w:val="00530CFA"/>
    <w:rsid w:val="0053211B"/>
    <w:rsid w:val="00533D37"/>
    <w:rsid w:val="00534DF6"/>
    <w:rsid w:val="00535E8C"/>
    <w:rsid w:val="005374FB"/>
    <w:rsid w:val="00537E80"/>
    <w:rsid w:val="00537F42"/>
    <w:rsid w:val="00540BAC"/>
    <w:rsid w:val="00541207"/>
    <w:rsid w:val="0054172D"/>
    <w:rsid w:val="00541DE1"/>
    <w:rsid w:val="00542041"/>
    <w:rsid w:val="005431EA"/>
    <w:rsid w:val="005434F9"/>
    <w:rsid w:val="0054367D"/>
    <w:rsid w:val="0054620D"/>
    <w:rsid w:val="00547872"/>
    <w:rsid w:val="0055167A"/>
    <w:rsid w:val="00553AF5"/>
    <w:rsid w:val="0055462F"/>
    <w:rsid w:val="00555F2F"/>
    <w:rsid w:val="00560F2D"/>
    <w:rsid w:val="00563E2A"/>
    <w:rsid w:val="005659CF"/>
    <w:rsid w:val="00565B68"/>
    <w:rsid w:val="00567B39"/>
    <w:rsid w:val="00572E2F"/>
    <w:rsid w:val="00573463"/>
    <w:rsid w:val="005742D7"/>
    <w:rsid w:val="005744E6"/>
    <w:rsid w:val="00574D57"/>
    <w:rsid w:val="005750FD"/>
    <w:rsid w:val="00575276"/>
    <w:rsid w:val="00576688"/>
    <w:rsid w:val="00576ADB"/>
    <w:rsid w:val="00576F91"/>
    <w:rsid w:val="005808CD"/>
    <w:rsid w:val="00580C09"/>
    <w:rsid w:val="0058143D"/>
    <w:rsid w:val="00581B33"/>
    <w:rsid w:val="00581EBB"/>
    <w:rsid w:val="00582473"/>
    <w:rsid w:val="005837E2"/>
    <w:rsid w:val="0058443F"/>
    <w:rsid w:val="0058463D"/>
    <w:rsid w:val="005847FC"/>
    <w:rsid w:val="005849C2"/>
    <w:rsid w:val="00586684"/>
    <w:rsid w:val="00587E75"/>
    <w:rsid w:val="00590DDD"/>
    <w:rsid w:val="00590E08"/>
    <w:rsid w:val="0059155C"/>
    <w:rsid w:val="005916A7"/>
    <w:rsid w:val="005918BC"/>
    <w:rsid w:val="00592741"/>
    <w:rsid w:val="0059368B"/>
    <w:rsid w:val="00593AA0"/>
    <w:rsid w:val="00594308"/>
    <w:rsid w:val="00594AAF"/>
    <w:rsid w:val="00595B38"/>
    <w:rsid w:val="00597235"/>
    <w:rsid w:val="0059775C"/>
    <w:rsid w:val="00597F38"/>
    <w:rsid w:val="005A1CF9"/>
    <w:rsid w:val="005A1D16"/>
    <w:rsid w:val="005A1F16"/>
    <w:rsid w:val="005A243A"/>
    <w:rsid w:val="005A25A5"/>
    <w:rsid w:val="005A2BF4"/>
    <w:rsid w:val="005A3E1F"/>
    <w:rsid w:val="005A3F05"/>
    <w:rsid w:val="005A490C"/>
    <w:rsid w:val="005A4C2A"/>
    <w:rsid w:val="005A6772"/>
    <w:rsid w:val="005A73AC"/>
    <w:rsid w:val="005A7427"/>
    <w:rsid w:val="005B0483"/>
    <w:rsid w:val="005B0563"/>
    <w:rsid w:val="005B2743"/>
    <w:rsid w:val="005B2ADD"/>
    <w:rsid w:val="005B2AE8"/>
    <w:rsid w:val="005B334E"/>
    <w:rsid w:val="005B33D7"/>
    <w:rsid w:val="005B3F28"/>
    <w:rsid w:val="005B5915"/>
    <w:rsid w:val="005B5BA7"/>
    <w:rsid w:val="005B5C71"/>
    <w:rsid w:val="005C105E"/>
    <w:rsid w:val="005C1174"/>
    <w:rsid w:val="005C1FE0"/>
    <w:rsid w:val="005C3014"/>
    <w:rsid w:val="005C38FB"/>
    <w:rsid w:val="005C3979"/>
    <w:rsid w:val="005C4FA4"/>
    <w:rsid w:val="005C5B87"/>
    <w:rsid w:val="005C70AD"/>
    <w:rsid w:val="005C7D83"/>
    <w:rsid w:val="005D0C6E"/>
    <w:rsid w:val="005D0EB6"/>
    <w:rsid w:val="005D1475"/>
    <w:rsid w:val="005D2F66"/>
    <w:rsid w:val="005D3904"/>
    <w:rsid w:val="005D3C4F"/>
    <w:rsid w:val="005D427A"/>
    <w:rsid w:val="005D46FD"/>
    <w:rsid w:val="005D4952"/>
    <w:rsid w:val="005D545E"/>
    <w:rsid w:val="005D547F"/>
    <w:rsid w:val="005D6DC4"/>
    <w:rsid w:val="005D740C"/>
    <w:rsid w:val="005D7582"/>
    <w:rsid w:val="005D7BC7"/>
    <w:rsid w:val="005E2034"/>
    <w:rsid w:val="005E27C0"/>
    <w:rsid w:val="005E3131"/>
    <w:rsid w:val="005E52D7"/>
    <w:rsid w:val="005E5807"/>
    <w:rsid w:val="005E58B6"/>
    <w:rsid w:val="005E7A24"/>
    <w:rsid w:val="005F1FBE"/>
    <w:rsid w:val="005F4950"/>
    <w:rsid w:val="005F4D0F"/>
    <w:rsid w:val="005F4E6B"/>
    <w:rsid w:val="005F4F56"/>
    <w:rsid w:val="005F514C"/>
    <w:rsid w:val="005F5BAD"/>
    <w:rsid w:val="005F7646"/>
    <w:rsid w:val="005F7EE3"/>
    <w:rsid w:val="00600C24"/>
    <w:rsid w:val="00600CDE"/>
    <w:rsid w:val="00601EA9"/>
    <w:rsid w:val="0060297E"/>
    <w:rsid w:val="00603253"/>
    <w:rsid w:val="0060460B"/>
    <w:rsid w:val="00605580"/>
    <w:rsid w:val="00605798"/>
    <w:rsid w:val="006059EC"/>
    <w:rsid w:val="00607327"/>
    <w:rsid w:val="006078B5"/>
    <w:rsid w:val="006111C9"/>
    <w:rsid w:val="00615A3A"/>
    <w:rsid w:val="00615A8C"/>
    <w:rsid w:val="00615CB1"/>
    <w:rsid w:val="00615D77"/>
    <w:rsid w:val="00615D88"/>
    <w:rsid w:val="00615FF5"/>
    <w:rsid w:val="006166FB"/>
    <w:rsid w:val="00616AB6"/>
    <w:rsid w:val="00616F0A"/>
    <w:rsid w:val="00617606"/>
    <w:rsid w:val="006178E4"/>
    <w:rsid w:val="00620B19"/>
    <w:rsid w:val="00621018"/>
    <w:rsid w:val="006213FD"/>
    <w:rsid w:val="0062196D"/>
    <w:rsid w:val="00624603"/>
    <w:rsid w:val="0062531F"/>
    <w:rsid w:val="006255CB"/>
    <w:rsid w:val="00627174"/>
    <w:rsid w:val="00627509"/>
    <w:rsid w:val="0063010B"/>
    <w:rsid w:val="00630E9A"/>
    <w:rsid w:val="00631C9C"/>
    <w:rsid w:val="00632AE4"/>
    <w:rsid w:val="006338A8"/>
    <w:rsid w:val="0063477E"/>
    <w:rsid w:val="00634989"/>
    <w:rsid w:val="006377FF"/>
    <w:rsid w:val="00640FB2"/>
    <w:rsid w:val="00641F41"/>
    <w:rsid w:val="00642A83"/>
    <w:rsid w:val="00643083"/>
    <w:rsid w:val="00643320"/>
    <w:rsid w:val="006458B7"/>
    <w:rsid w:val="00645E63"/>
    <w:rsid w:val="006464EF"/>
    <w:rsid w:val="00646DBE"/>
    <w:rsid w:val="00647880"/>
    <w:rsid w:val="00647E89"/>
    <w:rsid w:val="00647EB9"/>
    <w:rsid w:val="0065003C"/>
    <w:rsid w:val="006512E0"/>
    <w:rsid w:val="006515BC"/>
    <w:rsid w:val="006518D3"/>
    <w:rsid w:val="00651A61"/>
    <w:rsid w:val="00653A11"/>
    <w:rsid w:val="00657F0C"/>
    <w:rsid w:val="006608B5"/>
    <w:rsid w:val="00660ECE"/>
    <w:rsid w:val="006610EE"/>
    <w:rsid w:val="00662B7C"/>
    <w:rsid w:val="00662EA7"/>
    <w:rsid w:val="00662FB7"/>
    <w:rsid w:val="006634B8"/>
    <w:rsid w:val="006663DD"/>
    <w:rsid w:val="006666D6"/>
    <w:rsid w:val="006676C8"/>
    <w:rsid w:val="006678AE"/>
    <w:rsid w:val="00670DE5"/>
    <w:rsid w:val="00670F1B"/>
    <w:rsid w:val="006710BE"/>
    <w:rsid w:val="00671DC6"/>
    <w:rsid w:val="00672AAB"/>
    <w:rsid w:val="00675513"/>
    <w:rsid w:val="006769C8"/>
    <w:rsid w:val="00680617"/>
    <w:rsid w:val="00680AF7"/>
    <w:rsid w:val="00680FE3"/>
    <w:rsid w:val="006811C4"/>
    <w:rsid w:val="0068173F"/>
    <w:rsid w:val="006826A1"/>
    <w:rsid w:val="006826B6"/>
    <w:rsid w:val="00683595"/>
    <w:rsid w:val="00684B10"/>
    <w:rsid w:val="006856DD"/>
    <w:rsid w:val="00685B36"/>
    <w:rsid w:val="00685BF2"/>
    <w:rsid w:val="00690293"/>
    <w:rsid w:val="00690437"/>
    <w:rsid w:val="00690CE2"/>
    <w:rsid w:val="0069105E"/>
    <w:rsid w:val="006918CE"/>
    <w:rsid w:val="00691CE4"/>
    <w:rsid w:val="0069233F"/>
    <w:rsid w:val="00694A86"/>
    <w:rsid w:val="00694BC6"/>
    <w:rsid w:val="00694F06"/>
    <w:rsid w:val="00696206"/>
    <w:rsid w:val="0069655D"/>
    <w:rsid w:val="00696E55"/>
    <w:rsid w:val="006A0925"/>
    <w:rsid w:val="006A1F95"/>
    <w:rsid w:val="006A25EB"/>
    <w:rsid w:val="006A2D0C"/>
    <w:rsid w:val="006A2D38"/>
    <w:rsid w:val="006A3D3B"/>
    <w:rsid w:val="006A62CB"/>
    <w:rsid w:val="006A6FAD"/>
    <w:rsid w:val="006A72F1"/>
    <w:rsid w:val="006A7D31"/>
    <w:rsid w:val="006B0B2E"/>
    <w:rsid w:val="006B1826"/>
    <w:rsid w:val="006B1A8D"/>
    <w:rsid w:val="006B347E"/>
    <w:rsid w:val="006B3AC1"/>
    <w:rsid w:val="006B4275"/>
    <w:rsid w:val="006B43E1"/>
    <w:rsid w:val="006B5A69"/>
    <w:rsid w:val="006B6EFB"/>
    <w:rsid w:val="006B7556"/>
    <w:rsid w:val="006B7762"/>
    <w:rsid w:val="006C02D8"/>
    <w:rsid w:val="006C0965"/>
    <w:rsid w:val="006C0AB8"/>
    <w:rsid w:val="006C292A"/>
    <w:rsid w:val="006C2CEB"/>
    <w:rsid w:val="006C4640"/>
    <w:rsid w:val="006D0769"/>
    <w:rsid w:val="006D1058"/>
    <w:rsid w:val="006D17F0"/>
    <w:rsid w:val="006D206D"/>
    <w:rsid w:val="006D2E11"/>
    <w:rsid w:val="006D2ED0"/>
    <w:rsid w:val="006D3D85"/>
    <w:rsid w:val="006D5197"/>
    <w:rsid w:val="006D60A8"/>
    <w:rsid w:val="006D6D52"/>
    <w:rsid w:val="006D6F16"/>
    <w:rsid w:val="006D716D"/>
    <w:rsid w:val="006D75D9"/>
    <w:rsid w:val="006D7619"/>
    <w:rsid w:val="006D77D6"/>
    <w:rsid w:val="006E0232"/>
    <w:rsid w:val="006E02D0"/>
    <w:rsid w:val="006E0752"/>
    <w:rsid w:val="006E10E4"/>
    <w:rsid w:val="006E1EC6"/>
    <w:rsid w:val="006E338F"/>
    <w:rsid w:val="006E3A23"/>
    <w:rsid w:val="006E5140"/>
    <w:rsid w:val="006E5428"/>
    <w:rsid w:val="006E6697"/>
    <w:rsid w:val="006E6A76"/>
    <w:rsid w:val="006F0700"/>
    <w:rsid w:val="006F199F"/>
    <w:rsid w:val="006F204A"/>
    <w:rsid w:val="006F45B4"/>
    <w:rsid w:val="006F47C3"/>
    <w:rsid w:val="006F4894"/>
    <w:rsid w:val="006F4BD2"/>
    <w:rsid w:val="006F4D44"/>
    <w:rsid w:val="006F4D8E"/>
    <w:rsid w:val="006F6995"/>
    <w:rsid w:val="006F6EF9"/>
    <w:rsid w:val="006F79E1"/>
    <w:rsid w:val="006F7BCF"/>
    <w:rsid w:val="00700C54"/>
    <w:rsid w:val="007020D7"/>
    <w:rsid w:val="0070274F"/>
    <w:rsid w:val="007039A6"/>
    <w:rsid w:val="00703AF5"/>
    <w:rsid w:val="00705B9C"/>
    <w:rsid w:val="00706011"/>
    <w:rsid w:val="0070636F"/>
    <w:rsid w:val="007063DE"/>
    <w:rsid w:val="00707D33"/>
    <w:rsid w:val="007100EF"/>
    <w:rsid w:val="0071081E"/>
    <w:rsid w:val="007110E6"/>
    <w:rsid w:val="00711976"/>
    <w:rsid w:val="00712022"/>
    <w:rsid w:val="007130BE"/>
    <w:rsid w:val="00714030"/>
    <w:rsid w:val="007155D3"/>
    <w:rsid w:val="00715FF1"/>
    <w:rsid w:val="007172C0"/>
    <w:rsid w:val="007177ED"/>
    <w:rsid w:val="0072161A"/>
    <w:rsid w:val="0072162A"/>
    <w:rsid w:val="0072166D"/>
    <w:rsid w:val="007217AF"/>
    <w:rsid w:val="00721B2F"/>
    <w:rsid w:val="007238F8"/>
    <w:rsid w:val="00725549"/>
    <w:rsid w:val="00727363"/>
    <w:rsid w:val="007321FF"/>
    <w:rsid w:val="00732869"/>
    <w:rsid w:val="00732EEB"/>
    <w:rsid w:val="00735463"/>
    <w:rsid w:val="00737F4D"/>
    <w:rsid w:val="00741556"/>
    <w:rsid w:val="00741B82"/>
    <w:rsid w:val="00746D48"/>
    <w:rsid w:val="007504DD"/>
    <w:rsid w:val="00750E72"/>
    <w:rsid w:val="00752F85"/>
    <w:rsid w:val="007534C7"/>
    <w:rsid w:val="00753A41"/>
    <w:rsid w:val="00755AD7"/>
    <w:rsid w:val="007565FD"/>
    <w:rsid w:val="00756864"/>
    <w:rsid w:val="00760CE8"/>
    <w:rsid w:val="00761697"/>
    <w:rsid w:val="007625EC"/>
    <w:rsid w:val="00762839"/>
    <w:rsid w:val="0076536A"/>
    <w:rsid w:val="007658A6"/>
    <w:rsid w:val="00766BA8"/>
    <w:rsid w:val="00767B0A"/>
    <w:rsid w:val="00771F90"/>
    <w:rsid w:val="00773231"/>
    <w:rsid w:val="0077429E"/>
    <w:rsid w:val="00774491"/>
    <w:rsid w:val="00775996"/>
    <w:rsid w:val="0077688F"/>
    <w:rsid w:val="00776D43"/>
    <w:rsid w:val="00776FB7"/>
    <w:rsid w:val="007771F7"/>
    <w:rsid w:val="00777922"/>
    <w:rsid w:val="0078020B"/>
    <w:rsid w:val="00780248"/>
    <w:rsid w:val="0078028C"/>
    <w:rsid w:val="00781967"/>
    <w:rsid w:val="00781B37"/>
    <w:rsid w:val="00782F72"/>
    <w:rsid w:val="0078358F"/>
    <w:rsid w:val="00783A0E"/>
    <w:rsid w:val="007843C4"/>
    <w:rsid w:val="007858E7"/>
    <w:rsid w:val="0078610D"/>
    <w:rsid w:val="007874F1"/>
    <w:rsid w:val="007901FD"/>
    <w:rsid w:val="007902B1"/>
    <w:rsid w:val="0079133C"/>
    <w:rsid w:val="00791704"/>
    <w:rsid w:val="00791981"/>
    <w:rsid w:val="00792B38"/>
    <w:rsid w:val="00793489"/>
    <w:rsid w:val="00793519"/>
    <w:rsid w:val="00794412"/>
    <w:rsid w:val="007973AE"/>
    <w:rsid w:val="00797420"/>
    <w:rsid w:val="00797B10"/>
    <w:rsid w:val="007A2CF0"/>
    <w:rsid w:val="007A3DB5"/>
    <w:rsid w:val="007A3DC7"/>
    <w:rsid w:val="007A593A"/>
    <w:rsid w:val="007B109B"/>
    <w:rsid w:val="007B1C28"/>
    <w:rsid w:val="007B299C"/>
    <w:rsid w:val="007B2A97"/>
    <w:rsid w:val="007B2DA7"/>
    <w:rsid w:val="007B398E"/>
    <w:rsid w:val="007B3ED7"/>
    <w:rsid w:val="007B49B4"/>
    <w:rsid w:val="007B5CC3"/>
    <w:rsid w:val="007B6146"/>
    <w:rsid w:val="007B7FE6"/>
    <w:rsid w:val="007C017F"/>
    <w:rsid w:val="007C0497"/>
    <w:rsid w:val="007C0DB2"/>
    <w:rsid w:val="007C1FEB"/>
    <w:rsid w:val="007C25EB"/>
    <w:rsid w:val="007C3BF0"/>
    <w:rsid w:val="007C45F9"/>
    <w:rsid w:val="007C467C"/>
    <w:rsid w:val="007C5842"/>
    <w:rsid w:val="007C6231"/>
    <w:rsid w:val="007C6CD5"/>
    <w:rsid w:val="007C70A5"/>
    <w:rsid w:val="007C7357"/>
    <w:rsid w:val="007C7CD0"/>
    <w:rsid w:val="007C7F30"/>
    <w:rsid w:val="007D3572"/>
    <w:rsid w:val="007D3B92"/>
    <w:rsid w:val="007D571D"/>
    <w:rsid w:val="007D7A62"/>
    <w:rsid w:val="007E1D9C"/>
    <w:rsid w:val="007E31E4"/>
    <w:rsid w:val="007E42C7"/>
    <w:rsid w:val="007E57D0"/>
    <w:rsid w:val="007E63F4"/>
    <w:rsid w:val="007E7FB0"/>
    <w:rsid w:val="007F1467"/>
    <w:rsid w:val="007F1834"/>
    <w:rsid w:val="007F400E"/>
    <w:rsid w:val="007F75CB"/>
    <w:rsid w:val="007F76E5"/>
    <w:rsid w:val="00802A3E"/>
    <w:rsid w:val="00802B57"/>
    <w:rsid w:val="00802F6F"/>
    <w:rsid w:val="0080308A"/>
    <w:rsid w:val="00804239"/>
    <w:rsid w:val="0080482F"/>
    <w:rsid w:val="00804EB4"/>
    <w:rsid w:val="0080578A"/>
    <w:rsid w:val="00806712"/>
    <w:rsid w:val="00806F56"/>
    <w:rsid w:val="00807B70"/>
    <w:rsid w:val="0081007A"/>
    <w:rsid w:val="00810FF3"/>
    <w:rsid w:val="00812A05"/>
    <w:rsid w:val="00812B7C"/>
    <w:rsid w:val="0081357E"/>
    <w:rsid w:val="00814155"/>
    <w:rsid w:val="00814AD0"/>
    <w:rsid w:val="00814EE4"/>
    <w:rsid w:val="00815694"/>
    <w:rsid w:val="00815EBF"/>
    <w:rsid w:val="008166DC"/>
    <w:rsid w:val="008169EA"/>
    <w:rsid w:val="00817509"/>
    <w:rsid w:val="00820005"/>
    <w:rsid w:val="00822B88"/>
    <w:rsid w:val="00822F8F"/>
    <w:rsid w:val="00824242"/>
    <w:rsid w:val="0082435C"/>
    <w:rsid w:val="00825035"/>
    <w:rsid w:val="0082540F"/>
    <w:rsid w:val="00825973"/>
    <w:rsid w:val="008266A5"/>
    <w:rsid w:val="00826F46"/>
    <w:rsid w:val="008272E0"/>
    <w:rsid w:val="00830131"/>
    <w:rsid w:val="00830BDE"/>
    <w:rsid w:val="00831200"/>
    <w:rsid w:val="00831893"/>
    <w:rsid w:val="00832381"/>
    <w:rsid w:val="00833EE5"/>
    <w:rsid w:val="00833F5E"/>
    <w:rsid w:val="00835CD4"/>
    <w:rsid w:val="00836260"/>
    <w:rsid w:val="0083669C"/>
    <w:rsid w:val="008371F9"/>
    <w:rsid w:val="00837E33"/>
    <w:rsid w:val="00840022"/>
    <w:rsid w:val="00840969"/>
    <w:rsid w:val="00842316"/>
    <w:rsid w:val="0084354B"/>
    <w:rsid w:val="00843705"/>
    <w:rsid w:val="008446DE"/>
    <w:rsid w:val="008451CF"/>
    <w:rsid w:val="00845257"/>
    <w:rsid w:val="0085153B"/>
    <w:rsid w:val="00852FCA"/>
    <w:rsid w:val="00855EBE"/>
    <w:rsid w:val="00860184"/>
    <w:rsid w:val="00860ECC"/>
    <w:rsid w:val="00861B40"/>
    <w:rsid w:val="00861ED9"/>
    <w:rsid w:val="00862A8D"/>
    <w:rsid w:val="00862CC8"/>
    <w:rsid w:val="0086401C"/>
    <w:rsid w:val="008640F9"/>
    <w:rsid w:val="00864AFB"/>
    <w:rsid w:val="00864E80"/>
    <w:rsid w:val="00866BBA"/>
    <w:rsid w:val="00866E62"/>
    <w:rsid w:val="00866EB9"/>
    <w:rsid w:val="008677FE"/>
    <w:rsid w:val="008702E9"/>
    <w:rsid w:val="00872047"/>
    <w:rsid w:val="00872417"/>
    <w:rsid w:val="0087249F"/>
    <w:rsid w:val="00873BC4"/>
    <w:rsid w:val="00875365"/>
    <w:rsid w:val="0087541D"/>
    <w:rsid w:val="008765FC"/>
    <w:rsid w:val="00877054"/>
    <w:rsid w:val="00877486"/>
    <w:rsid w:val="0087758D"/>
    <w:rsid w:val="008779CE"/>
    <w:rsid w:val="00877BC4"/>
    <w:rsid w:val="008806B0"/>
    <w:rsid w:val="00880765"/>
    <w:rsid w:val="00880A9E"/>
    <w:rsid w:val="00881099"/>
    <w:rsid w:val="00881485"/>
    <w:rsid w:val="008818EA"/>
    <w:rsid w:val="00881CA6"/>
    <w:rsid w:val="008822B4"/>
    <w:rsid w:val="008835D0"/>
    <w:rsid w:val="00884784"/>
    <w:rsid w:val="00884FE0"/>
    <w:rsid w:val="008876A1"/>
    <w:rsid w:val="008903AE"/>
    <w:rsid w:val="00891393"/>
    <w:rsid w:val="008915E9"/>
    <w:rsid w:val="00891FAA"/>
    <w:rsid w:val="00892EF8"/>
    <w:rsid w:val="00893197"/>
    <w:rsid w:val="008949C6"/>
    <w:rsid w:val="00894B46"/>
    <w:rsid w:val="00895A0D"/>
    <w:rsid w:val="00895E5D"/>
    <w:rsid w:val="00897732"/>
    <w:rsid w:val="008A026C"/>
    <w:rsid w:val="008A0E8B"/>
    <w:rsid w:val="008A12CF"/>
    <w:rsid w:val="008A1817"/>
    <w:rsid w:val="008A1EB7"/>
    <w:rsid w:val="008A2552"/>
    <w:rsid w:val="008A3312"/>
    <w:rsid w:val="008A4260"/>
    <w:rsid w:val="008A4AB6"/>
    <w:rsid w:val="008A4B3A"/>
    <w:rsid w:val="008A4D2F"/>
    <w:rsid w:val="008A4E83"/>
    <w:rsid w:val="008A606F"/>
    <w:rsid w:val="008A60FF"/>
    <w:rsid w:val="008A6641"/>
    <w:rsid w:val="008A7736"/>
    <w:rsid w:val="008B2920"/>
    <w:rsid w:val="008B494B"/>
    <w:rsid w:val="008B6030"/>
    <w:rsid w:val="008B6FD7"/>
    <w:rsid w:val="008B71C1"/>
    <w:rsid w:val="008C0511"/>
    <w:rsid w:val="008C3FDD"/>
    <w:rsid w:val="008C5D63"/>
    <w:rsid w:val="008C5F20"/>
    <w:rsid w:val="008C7A40"/>
    <w:rsid w:val="008D324A"/>
    <w:rsid w:val="008D390E"/>
    <w:rsid w:val="008D46B0"/>
    <w:rsid w:val="008D52EE"/>
    <w:rsid w:val="008D5A50"/>
    <w:rsid w:val="008D5A98"/>
    <w:rsid w:val="008D5BAB"/>
    <w:rsid w:val="008D5C1D"/>
    <w:rsid w:val="008E00EE"/>
    <w:rsid w:val="008E0543"/>
    <w:rsid w:val="008E1091"/>
    <w:rsid w:val="008E14ED"/>
    <w:rsid w:val="008E158C"/>
    <w:rsid w:val="008E1CBB"/>
    <w:rsid w:val="008E1EB9"/>
    <w:rsid w:val="008E2AE5"/>
    <w:rsid w:val="008E2E83"/>
    <w:rsid w:val="008E38AD"/>
    <w:rsid w:val="008E686B"/>
    <w:rsid w:val="008E76C0"/>
    <w:rsid w:val="008F135A"/>
    <w:rsid w:val="008F2477"/>
    <w:rsid w:val="008F272A"/>
    <w:rsid w:val="008F2B67"/>
    <w:rsid w:val="008F301F"/>
    <w:rsid w:val="008F3F16"/>
    <w:rsid w:val="008F55A4"/>
    <w:rsid w:val="008F58AD"/>
    <w:rsid w:val="008F6B64"/>
    <w:rsid w:val="00901A1C"/>
    <w:rsid w:val="00902F8A"/>
    <w:rsid w:val="009038A9"/>
    <w:rsid w:val="00904908"/>
    <w:rsid w:val="009078A9"/>
    <w:rsid w:val="00907CE5"/>
    <w:rsid w:val="009103AF"/>
    <w:rsid w:val="00911107"/>
    <w:rsid w:val="009112F8"/>
    <w:rsid w:val="00911CDE"/>
    <w:rsid w:val="00911FD8"/>
    <w:rsid w:val="0091365E"/>
    <w:rsid w:val="00915209"/>
    <w:rsid w:val="00915DBD"/>
    <w:rsid w:val="009170D7"/>
    <w:rsid w:val="00917BD8"/>
    <w:rsid w:val="0092003A"/>
    <w:rsid w:val="00921A03"/>
    <w:rsid w:val="00921C98"/>
    <w:rsid w:val="00923861"/>
    <w:rsid w:val="0092441A"/>
    <w:rsid w:val="00924866"/>
    <w:rsid w:val="0092530C"/>
    <w:rsid w:val="009259C2"/>
    <w:rsid w:val="00925AA2"/>
    <w:rsid w:val="00927DA8"/>
    <w:rsid w:val="009310AB"/>
    <w:rsid w:val="00931E59"/>
    <w:rsid w:val="009322F2"/>
    <w:rsid w:val="00933708"/>
    <w:rsid w:val="00933BB5"/>
    <w:rsid w:val="0093725F"/>
    <w:rsid w:val="00937E33"/>
    <w:rsid w:val="009446EA"/>
    <w:rsid w:val="00945482"/>
    <w:rsid w:val="00945E21"/>
    <w:rsid w:val="00947445"/>
    <w:rsid w:val="009502CE"/>
    <w:rsid w:val="00950A2C"/>
    <w:rsid w:val="0095220B"/>
    <w:rsid w:val="00952316"/>
    <w:rsid w:val="00952B7C"/>
    <w:rsid w:val="009532C0"/>
    <w:rsid w:val="00954215"/>
    <w:rsid w:val="00954A84"/>
    <w:rsid w:val="009564A8"/>
    <w:rsid w:val="009571B3"/>
    <w:rsid w:val="009600C0"/>
    <w:rsid w:val="0096049F"/>
    <w:rsid w:val="00961820"/>
    <w:rsid w:val="0096225A"/>
    <w:rsid w:val="009623EE"/>
    <w:rsid w:val="00964FE6"/>
    <w:rsid w:val="00967D6D"/>
    <w:rsid w:val="00972A3A"/>
    <w:rsid w:val="00972D70"/>
    <w:rsid w:val="009735EC"/>
    <w:rsid w:val="00975CC7"/>
    <w:rsid w:val="00976F41"/>
    <w:rsid w:val="0097712D"/>
    <w:rsid w:val="00977E64"/>
    <w:rsid w:val="00980278"/>
    <w:rsid w:val="00980425"/>
    <w:rsid w:val="0098068D"/>
    <w:rsid w:val="00981709"/>
    <w:rsid w:val="00982282"/>
    <w:rsid w:val="009824CA"/>
    <w:rsid w:val="009824E7"/>
    <w:rsid w:val="00983351"/>
    <w:rsid w:val="00983657"/>
    <w:rsid w:val="009836D0"/>
    <w:rsid w:val="00983E39"/>
    <w:rsid w:val="00984BCE"/>
    <w:rsid w:val="0098598C"/>
    <w:rsid w:val="00985B18"/>
    <w:rsid w:val="00986810"/>
    <w:rsid w:val="00986FF8"/>
    <w:rsid w:val="00987064"/>
    <w:rsid w:val="00987209"/>
    <w:rsid w:val="00990DD9"/>
    <w:rsid w:val="0099106A"/>
    <w:rsid w:val="0099124C"/>
    <w:rsid w:val="00991371"/>
    <w:rsid w:val="00991630"/>
    <w:rsid w:val="00992D1F"/>
    <w:rsid w:val="0099389C"/>
    <w:rsid w:val="00993AA0"/>
    <w:rsid w:val="00995128"/>
    <w:rsid w:val="0099527E"/>
    <w:rsid w:val="00996D1C"/>
    <w:rsid w:val="009A067C"/>
    <w:rsid w:val="009A0F92"/>
    <w:rsid w:val="009A20C6"/>
    <w:rsid w:val="009A331C"/>
    <w:rsid w:val="009A4121"/>
    <w:rsid w:val="009A546A"/>
    <w:rsid w:val="009A6CC3"/>
    <w:rsid w:val="009B245D"/>
    <w:rsid w:val="009B37A5"/>
    <w:rsid w:val="009B40B4"/>
    <w:rsid w:val="009B4837"/>
    <w:rsid w:val="009B5E4A"/>
    <w:rsid w:val="009B78C4"/>
    <w:rsid w:val="009B7F8D"/>
    <w:rsid w:val="009C09A4"/>
    <w:rsid w:val="009C2DD9"/>
    <w:rsid w:val="009C3A0D"/>
    <w:rsid w:val="009C3B37"/>
    <w:rsid w:val="009C43E2"/>
    <w:rsid w:val="009C614B"/>
    <w:rsid w:val="009C6B5D"/>
    <w:rsid w:val="009C7129"/>
    <w:rsid w:val="009C75E8"/>
    <w:rsid w:val="009D0202"/>
    <w:rsid w:val="009D0769"/>
    <w:rsid w:val="009D0F6C"/>
    <w:rsid w:val="009D1438"/>
    <w:rsid w:val="009D15E4"/>
    <w:rsid w:val="009D17C2"/>
    <w:rsid w:val="009D26AB"/>
    <w:rsid w:val="009D3087"/>
    <w:rsid w:val="009D3FBF"/>
    <w:rsid w:val="009D45C5"/>
    <w:rsid w:val="009E0FA5"/>
    <w:rsid w:val="009E19E6"/>
    <w:rsid w:val="009E2872"/>
    <w:rsid w:val="009E4A14"/>
    <w:rsid w:val="009E56D8"/>
    <w:rsid w:val="009E6D96"/>
    <w:rsid w:val="009E7C74"/>
    <w:rsid w:val="009F0D5B"/>
    <w:rsid w:val="009F1A2B"/>
    <w:rsid w:val="009F307D"/>
    <w:rsid w:val="009F34AE"/>
    <w:rsid w:val="009F4364"/>
    <w:rsid w:val="009F451D"/>
    <w:rsid w:val="009F46B7"/>
    <w:rsid w:val="009F5246"/>
    <w:rsid w:val="009F5B4F"/>
    <w:rsid w:val="009F684A"/>
    <w:rsid w:val="00A02D0F"/>
    <w:rsid w:val="00A04C48"/>
    <w:rsid w:val="00A05413"/>
    <w:rsid w:val="00A0774C"/>
    <w:rsid w:val="00A10587"/>
    <w:rsid w:val="00A109F3"/>
    <w:rsid w:val="00A10FCC"/>
    <w:rsid w:val="00A11BF8"/>
    <w:rsid w:val="00A12A90"/>
    <w:rsid w:val="00A13AAC"/>
    <w:rsid w:val="00A13F3C"/>
    <w:rsid w:val="00A16523"/>
    <w:rsid w:val="00A17773"/>
    <w:rsid w:val="00A207CA"/>
    <w:rsid w:val="00A21216"/>
    <w:rsid w:val="00A232AC"/>
    <w:rsid w:val="00A24D63"/>
    <w:rsid w:val="00A252F2"/>
    <w:rsid w:val="00A26BD0"/>
    <w:rsid w:val="00A2781F"/>
    <w:rsid w:val="00A31043"/>
    <w:rsid w:val="00A31E66"/>
    <w:rsid w:val="00A328DA"/>
    <w:rsid w:val="00A33E4A"/>
    <w:rsid w:val="00A368E9"/>
    <w:rsid w:val="00A371FA"/>
    <w:rsid w:val="00A37A66"/>
    <w:rsid w:val="00A40AD6"/>
    <w:rsid w:val="00A41899"/>
    <w:rsid w:val="00A42B2B"/>
    <w:rsid w:val="00A439CD"/>
    <w:rsid w:val="00A44D92"/>
    <w:rsid w:val="00A45156"/>
    <w:rsid w:val="00A45CA0"/>
    <w:rsid w:val="00A4626E"/>
    <w:rsid w:val="00A467D0"/>
    <w:rsid w:val="00A471C4"/>
    <w:rsid w:val="00A474BA"/>
    <w:rsid w:val="00A47A1D"/>
    <w:rsid w:val="00A47A54"/>
    <w:rsid w:val="00A514DB"/>
    <w:rsid w:val="00A51B19"/>
    <w:rsid w:val="00A51FC5"/>
    <w:rsid w:val="00A54D83"/>
    <w:rsid w:val="00A55670"/>
    <w:rsid w:val="00A5697C"/>
    <w:rsid w:val="00A577B3"/>
    <w:rsid w:val="00A60A1B"/>
    <w:rsid w:val="00A60EBA"/>
    <w:rsid w:val="00A61624"/>
    <w:rsid w:val="00A61895"/>
    <w:rsid w:val="00A6241F"/>
    <w:rsid w:val="00A63D53"/>
    <w:rsid w:val="00A649C8"/>
    <w:rsid w:val="00A651AA"/>
    <w:rsid w:val="00A6611E"/>
    <w:rsid w:val="00A67623"/>
    <w:rsid w:val="00A70256"/>
    <w:rsid w:val="00A70D7D"/>
    <w:rsid w:val="00A7142C"/>
    <w:rsid w:val="00A72042"/>
    <w:rsid w:val="00A72270"/>
    <w:rsid w:val="00A725D8"/>
    <w:rsid w:val="00A728C7"/>
    <w:rsid w:val="00A7299D"/>
    <w:rsid w:val="00A73098"/>
    <w:rsid w:val="00A734CC"/>
    <w:rsid w:val="00A741C2"/>
    <w:rsid w:val="00A7437D"/>
    <w:rsid w:val="00A74895"/>
    <w:rsid w:val="00A80400"/>
    <w:rsid w:val="00A8099B"/>
    <w:rsid w:val="00A8179F"/>
    <w:rsid w:val="00A81B80"/>
    <w:rsid w:val="00A81B88"/>
    <w:rsid w:val="00A83127"/>
    <w:rsid w:val="00A83281"/>
    <w:rsid w:val="00A83669"/>
    <w:rsid w:val="00A846F3"/>
    <w:rsid w:val="00A84E99"/>
    <w:rsid w:val="00A850CC"/>
    <w:rsid w:val="00A85506"/>
    <w:rsid w:val="00A85F48"/>
    <w:rsid w:val="00A86177"/>
    <w:rsid w:val="00A865E3"/>
    <w:rsid w:val="00A930E9"/>
    <w:rsid w:val="00A947EF"/>
    <w:rsid w:val="00A9517A"/>
    <w:rsid w:val="00A9571F"/>
    <w:rsid w:val="00A962F4"/>
    <w:rsid w:val="00A96360"/>
    <w:rsid w:val="00A9778A"/>
    <w:rsid w:val="00A97967"/>
    <w:rsid w:val="00AA0A55"/>
    <w:rsid w:val="00AA10C3"/>
    <w:rsid w:val="00AA26F6"/>
    <w:rsid w:val="00AA431D"/>
    <w:rsid w:val="00AA459C"/>
    <w:rsid w:val="00AA6847"/>
    <w:rsid w:val="00AA729C"/>
    <w:rsid w:val="00AB1DAE"/>
    <w:rsid w:val="00AB2514"/>
    <w:rsid w:val="00AB265D"/>
    <w:rsid w:val="00AB2CAA"/>
    <w:rsid w:val="00AB465B"/>
    <w:rsid w:val="00AB4EF1"/>
    <w:rsid w:val="00AB51AA"/>
    <w:rsid w:val="00AB6015"/>
    <w:rsid w:val="00AB63F6"/>
    <w:rsid w:val="00AB6A6C"/>
    <w:rsid w:val="00AB6DF8"/>
    <w:rsid w:val="00AB7610"/>
    <w:rsid w:val="00AC0425"/>
    <w:rsid w:val="00AC2ABA"/>
    <w:rsid w:val="00AC3BC2"/>
    <w:rsid w:val="00AC3EC6"/>
    <w:rsid w:val="00AC4104"/>
    <w:rsid w:val="00AC5F5B"/>
    <w:rsid w:val="00AC7214"/>
    <w:rsid w:val="00AC76CF"/>
    <w:rsid w:val="00AD058B"/>
    <w:rsid w:val="00AD0FDB"/>
    <w:rsid w:val="00AD3DB5"/>
    <w:rsid w:val="00AD568E"/>
    <w:rsid w:val="00AD5F6E"/>
    <w:rsid w:val="00AD5F7B"/>
    <w:rsid w:val="00AD6148"/>
    <w:rsid w:val="00AD6CA7"/>
    <w:rsid w:val="00AD7079"/>
    <w:rsid w:val="00AD7755"/>
    <w:rsid w:val="00AE0192"/>
    <w:rsid w:val="00AE0CF0"/>
    <w:rsid w:val="00AE18B3"/>
    <w:rsid w:val="00AE2D81"/>
    <w:rsid w:val="00AE37BC"/>
    <w:rsid w:val="00AE4511"/>
    <w:rsid w:val="00AE48F2"/>
    <w:rsid w:val="00AE5034"/>
    <w:rsid w:val="00AE5FB0"/>
    <w:rsid w:val="00AE619F"/>
    <w:rsid w:val="00AE64B0"/>
    <w:rsid w:val="00AE6811"/>
    <w:rsid w:val="00AE7D0F"/>
    <w:rsid w:val="00AF05EB"/>
    <w:rsid w:val="00AF0E2B"/>
    <w:rsid w:val="00AF1310"/>
    <w:rsid w:val="00AF1F04"/>
    <w:rsid w:val="00AF337A"/>
    <w:rsid w:val="00AF3E30"/>
    <w:rsid w:val="00AF5631"/>
    <w:rsid w:val="00AF744F"/>
    <w:rsid w:val="00AF75BE"/>
    <w:rsid w:val="00AF78AE"/>
    <w:rsid w:val="00AF7B2F"/>
    <w:rsid w:val="00B00399"/>
    <w:rsid w:val="00B009C4"/>
    <w:rsid w:val="00B00C96"/>
    <w:rsid w:val="00B01DB5"/>
    <w:rsid w:val="00B021C4"/>
    <w:rsid w:val="00B03F28"/>
    <w:rsid w:val="00B058D3"/>
    <w:rsid w:val="00B05CFC"/>
    <w:rsid w:val="00B10EBC"/>
    <w:rsid w:val="00B12C3B"/>
    <w:rsid w:val="00B12CB3"/>
    <w:rsid w:val="00B12EF7"/>
    <w:rsid w:val="00B139F5"/>
    <w:rsid w:val="00B14D3C"/>
    <w:rsid w:val="00B14D91"/>
    <w:rsid w:val="00B16AFB"/>
    <w:rsid w:val="00B17653"/>
    <w:rsid w:val="00B202C2"/>
    <w:rsid w:val="00B202F1"/>
    <w:rsid w:val="00B205A5"/>
    <w:rsid w:val="00B2075D"/>
    <w:rsid w:val="00B2265E"/>
    <w:rsid w:val="00B2681C"/>
    <w:rsid w:val="00B325F5"/>
    <w:rsid w:val="00B327E6"/>
    <w:rsid w:val="00B32D75"/>
    <w:rsid w:val="00B33290"/>
    <w:rsid w:val="00B3361F"/>
    <w:rsid w:val="00B339CD"/>
    <w:rsid w:val="00B33D3E"/>
    <w:rsid w:val="00B342AC"/>
    <w:rsid w:val="00B410F3"/>
    <w:rsid w:val="00B4202C"/>
    <w:rsid w:val="00B42710"/>
    <w:rsid w:val="00B4348A"/>
    <w:rsid w:val="00B4397A"/>
    <w:rsid w:val="00B51895"/>
    <w:rsid w:val="00B53455"/>
    <w:rsid w:val="00B53B8E"/>
    <w:rsid w:val="00B55FF7"/>
    <w:rsid w:val="00B5778B"/>
    <w:rsid w:val="00B608DB"/>
    <w:rsid w:val="00B60F97"/>
    <w:rsid w:val="00B60FD5"/>
    <w:rsid w:val="00B61D56"/>
    <w:rsid w:val="00B6315E"/>
    <w:rsid w:val="00B64CB1"/>
    <w:rsid w:val="00B656AE"/>
    <w:rsid w:val="00B65AFC"/>
    <w:rsid w:val="00B65B07"/>
    <w:rsid w:val="00B66CC5"/>
    <w:rsid w:val="00B67BFC"/>
    <w:rsid w:val="00B70625"/>
    <w:rsid w:val="00B70705"/>
    <w:rsid w:val="00B7077E"/>
    <w:rsid w:val="00B70E4B"/>
    <w:rsid w:val="00B712A8"/>
    <w:rsid w:val="00B71576"/>
    <w:rsid w:val="00B71CD5"/>
    <w:rsid w:val="00B71D72"/>
    <w:rsid w:val="00B73C8D"/>
    <w:rsid w:val="00B73EA1"/>
    <w:rsid w:val="00B74DC4"/>
    <w:rsid w:val="00B7558B"/>
    <w:rsid w:val="00B7692A"/>
    <w:rsid w:val="00B7737D"/>
    <w:rsid w:val="00B774A4"/>
    <w:rsid w:val="00B80FAF"/>
    <w:rsid w:val="00B836ED"/>
    <w:rsid w:val="00B848C9"/>
    <w:rsid w:val="00B852EC"/>
    <w:rsid w:val="00B85D36"/>
    <w:rsid w:val="00B872C6"/>
    <w:rsid w:val="00B93E09"/>
    <w:rsid w:val="00B93EE0"/>
    <w:rsid w:val="00B95489"/>
    <w:rsid w:val="00B96BFE"/>
    <w:rsid w:val="00BA0940"/>
    <w:rsid w:val="00BA13C8"/>
    <w:rsid w:val="00BA267A"/>
    <w:rsid w:val="00BA3A0E"/>
    <w:rsid w:val="00BA3D0B"/>
    <w:rsid w:val="00BA5A0C"/>
    <w:rsid w:val="00BB0244"/>
    <w:rsid w:val="00BB2125"/>
    <w:rsid w:val="00BB308A"/>
    <w:rsid w:val="00BB35B2"/>
    <w:rsid w:val="00BB3744"/>
    <w:rsid w:val="00BB3C1A"/>
    <w:rsid w:val="00BB4764"/>
    <w:rsid w:val="00BB5018"/>
    <w:rsid w:val="00BB51CF"/>
    <w:rsid w:val="00BB53C4"/>
    <w:rsid w:val="00BB69E5"/>
    <w:rsid w:val="00BB6A0E"/>
    <w:rsid w:val="00BB6B48"/>
    <w:rsid w:val="00BC0C41"/>
    <w:rsid w:val="00BC0DC6"/>
    <w:rsid w:val="00BC0E07"/>
    <w:rsid w:val="00BC5ECA"/>
    <w:rsid w:val="00BC6B61"/>
    <w:rsid w:val="00BD123B"/>
    <w:rsid w:val="00BD1909"/>
    <w:rsid w:val="00BD1C73"/>
    <w:rsid w:val="00BD215F"/>
    <w:rsid w:val="00BD33B2"/>
    <w:rsid w:val="00BD3890"/>
    <w:rsid w:val="00BD4462"/>
    <w:rsid w:val="00BD4CE9"/>
    <w:rsid w:val="00BD7DAB"/>
    <w:rsid w:val="00BE054F"/>
    <w:rsid w:val="00BE18E7"/>
    <w:rsid w:val="00BE1982"/>
    <w:rsid w:val="00BE1A0A"/>
    <w:rsid w:val="00BE25BC"/>
    <w:rsid w:val="00BE2BF8"/>
    <w:rsid w:val="00BE31A0"/>
    <w:rsid w:val="00BE3569"/>
    <w:rsid w:val="00BE389E"/>
    <w:rsid w:val="00BE398D"/>
    <w:rsid w:val="00BE3CDE"/>
    <w:rsid w:val="00BE3D38"/>
    <w:rsid w:val="00BE447E"/>
    <w:rsid w:val="00BE5030"/>
    <w:rsid w:val="00BE66B6"/>
    <w:rsid w:val="00BE6CA2"/>
    <w:rsid w:val="00BE7556"/>
    <w:rsid w:val="00BE77AD"/>
    <w:rsid w:val="00BE7E89"/>
    <w:rsid w:val="00BF0BE6"/>
    <w:rsid w:val="00BF216C"/>
    <w:rsid w:val="00BF251E"/>
    <w:rsid w:val="00BF26A0"/>
    <w:rsid w:val="00BF2821"/>
    <w:rsid w:val="00BF2C7B"/>
    <w:rsid w:val="00C02C22"/>
    <w:rsid w:val="00C0397A"/>
    <w:rsid w:val="00C0411A"/>
    <w:rsid w:val="00C0469F"/>
    <w:rsid w:val="00C04C83"/>
    <w:rsid w:val="00C04EB8"/>
    <w:rsid w:val="00C0522E"/>
    <w:rsid w:val="00C06B4F"/>
    <w:rsid w:val="00C06FEF"/>
    <w:rsid w:val="00C10261"/>
    <w:rsid w:val="00C10A32"/>
    <w:rsid w:val="00C12579"/>
    <w:rsid w:val="00C1271B"/>
    <w:rsid w:val="00C13585"/>
    <w:rsid w:val="00C13880"/>
    <w:rsid w:val="00C13F6C"/>
    <w:rsid w:val="00C1660C"/>
    <w:rsid w:val="00C16723"/>
    <w:rsid w:val="00C17342"/>
    <w:rsid w:val="00C20C78"/>
    <w:rsid w:val="00C215D0"/>
    <w:rsid w:val="00C232F1"/>
    <w:rsid w:val="00C2332E"/>
    <w:rsid w:val="00C23C48"/>
    <w:rsid w:val="00C25260"/>
    <w:rsid w:val="00C256C7"/>
    <w:rsid w:val="00C2580D"/>
    <w:rsid w:val="00C2617F"/>
    <w:rsid w:val="00C26AEC"/>
    <w:rsid w:val="00C26E84"/>
    <w:rsid w:val="00C273E8"/>
    <w:rsid w:val="00C27490"/>
    <w:rsid w:val="00C27EAA"/>
    <w:rsid w:val="00C311DA"/>
    <w:rsid w:val="00C32284"/>
    <w:rsid w:val="00C328DB"/>
    <w:rsid w:val="00C32AC2"/>
    <w:rsid w:val="00C33BE7"/>
    <w:rsid w:val="00C34648"/>
    <w:rsid w:val="00C359D2"/>
    <w:rsid w:val="00C378A0"/>
    <w:rsid w:val="00C4109E"/>
    <w:rsid w:val="00C41136"/>
    <w:rsid w:val="00C42768"/>
    <w:rsid w:val="00C42ED0"/>
    <w:rsid w:val="00C43DCB"/>
    <w:rsid w:val="00C44D97"/>
    <w:rsid w:val="00C452B3"/>
    <w:rsid w:val="00C50229"/>
    <w:rsid w:val="00C50936"/>
    <w:rsid w:val="00C511E0"/>
    <w:rsid w:val="00C516E6"/>
    <w:rsid w:val="00C52045"/>
    <w:rsid w:val="00C52400"/>
    <w:rsid w:val="00C53A87"/>
    <w:rsid w:val="00C543CC"/>
    <w:rsid w:val="00C54940"/>
    <w:rsid w:val="00C551A9"/>
    <w:rsid w:val="00C552E6"/>
    <w:rsid w:val="00C56034"/>
    <w:rsid w:val="00C56553"/>
    <w:rsid w:val="00C5672D"/>
    <w:rsid w:val="00C567E3"/>
    <w:rsid w:val="00C57126"/>
    <w:rsid w:val="00C57AD2"/>
    <w:rsid w:val="00C57D8A"/>
    <w:rsid w:val="00C60A25"/>
    <w:rsid w:val="00C60EDA"/>
    <w:rsid w:val="00C62546"/>
    <w:rsid w:val="00C62BAD"/>
    <w:rsid w:val="00C63980"/>
    <w:rsid w:val="00C63CEA"/>
    <w:rsid w:val="00C63D76"/>
    <w:rsid w:val="00C63E32"/>
    <w:rsid w:val="00C643E9"/>
    <w:rsid w:val="00C6489F"/>
    <w:rsid w:val="00C64FF0"/>
    <w:rsid w:val="00C667FA"/>
    <w:rsid w:val="00C670E1"/>
    <w:rsid w:val="00C671D7"/>
    <w:rsid w:val="00C6771C"/>
    <w:rsid w:val="00C7012A"/>
    <w:rsid w:val="00C70F99"/>
    <w:rsid w:val="00C71B06"/>
    <w:rsid w:val="00C71F57"/>
    <w:rsid w:val="00C721B8"/>
    <w:rsid w:val="00C73800"/>
    <w:rsid w:val="00C73A02"/>
    <w:rsid w:val="00C73CD0"/>
    <w:rsid w:val="00C753CF"/>
    <w:rsid w:val="00C75B14"/>
    <w:rsid w:val="00C75CAA"/>
    <w:rsid w:val="00C777BC"/>
    <w:rsid w:val="00C80084"/>
    <w:rsid w:val="00C80395"/>
    <w:rsid w:val="00C8049E"/>
    <w:rsid w:val="00C824C3"/>
    <w:rsid w:val="00C83756"/>
    <w:rsid w:val="00C84072"/>
    <w:rsid w:val="00C852E7"/>
    <w:rsid w:val="00C85648"/>
    <w:rsid w:val="00C8628A"/>
    <w:rsid w:val="00C863B4"/>
    <w:rsid w:val="00C865CD"/>
    <w:rsid w:val="00C865E0"/>
    <w:rsid w:val="00C877FD"/>
    <w:rsid w:val="00C87E29"/>
    <w:rsid w:val="00C9223F"/>
    <w:rsid w:val="00C9265C"/>
    <w:rsid w:val="00C926D4"/>
    <w:rsid w:val="00C93759"/>
    <w:rsid w:val="00C9424E"/>
    <w:rsid w:val="00C943D1"/>
    <w:rsid w:val="00C94B71"/>
    <w:rsid w:val="00C9621E"/>
    <w:rsid w:val="00C97191"/>
    <w:rsid w:val="00C974AF"/>
    <w:rsid w:val="00CA0739"/>
    <w:rsid w:val="00CA18DB"/>
    <w:rsid w:val="00CA1F5C"/>
    <w:rsid w:val="00CA220D"/>
    <w:rsid w:val="00CA22E2"/>
    <w:rsid w:val="00CA37ED"/>
    <w:rsid w:val="00CA56C6"/>
    <w:rsid w:val="00CA7883"/>
    <w:rsid w:val="00CB0153"/>
    <w:rsid w:val="00CB0560"/>
    <w:rsid w:val="00CB1077"/>
    <w:rsid w:val="00CB1F70"/>
    <w:rsid w:val="00CB259B"/>
    <w:rsid w:val="00CB25C5"/>
    <w:rsid w:val="00CB2C08"/>
    <w:rsid w:val="00CB3FA8"/>
    <w:rsid w:val="00CB414B"/>
    <w:rsid w:val="00CB7374"/>
    <w:rsid w:val="00CB738A"/>
    <w:rsid w:val="00CB79AA"/>
    <w:rsid w:val="00CB7DB8"/>
    <w:rsid w:val="00CC0693"/>
    <w:rsid w:val="00CC109A"/>
    <w:rsid w:val="00CC1560"/>
    <w:rsid w:val="00CC27A1"/>
    <w:rsid w:val="00CC29CE"/>
    <w:rsid w:val="00CC2EC6"/>
    <w:rsid w:val="00CC3E79"/>
    <w:rsid w:val="00CC423C"/>
    <w:rsid w:val="00CC5DFD"/>
    <w:rsid w:val="00CC6844"/>
    <w:rsid w:val="00CC737F"/>
    <w:rsid w:val="00CC7C8D"/>
    <w:rsid w:val="00CC7F74"/>
    <w:rsid w:val="00CD13E5"/>
    <w:rsid w:val="00CD18E0"/>
    <w:rsid w:val="00CD1BD3"/>
    <w:rsid w:val="00CD3320"/>
    <w:rsid w:val="00CD55AB"/>
    <w:rsid w:val="00CD63CE"/>
    <w:rsid w:val="00CD66F3"/>
    <w:rsid w:val="00CD6D6B"/>
    <w:rsid w:val="00CE1480"/>
    <w:rsid w:val="00CE1D79"/>
    <w:rsid w:val="00CE29FE"/>
    <w:rsid w:val="00CE4F8B"/>
    <w:rsid w:val="00CE597D"/>
    <w:rsid w:val="00CE6378"/>
    <w:rsid w:val="00CE7314"/>
    <w:rsid w:val="00CE7370"/>
    <w:rsid w:val="00CE75A2"/>
    <w:rsid w:val="00CE7756"/>
    <w:rsid w:val="00CE7998"/>
    <w:rsid w:val="00CE7F74"/>
    <w:rsid w:val="00CF03A8"/>
    <w:rsid w:val="00CF0C5D"/>
    <w:rsid w:val="00CF32AB"/>
    <w:rsid w:val="00CF359A"/>
    <w:rsid w:val="00CF3790"/>
    <w:rsid w:val="00CF3A95"/>
    <w:rsid w:val="00CF3B66"/>
    <w:rsid w:val="00CF497D"/>
    <w:rsid w:val="00CF4F42"/>
    <w:rsid w:val="00CF57C7"/>
    <w:rsid w:val="00CF6AD3"/>
    <w:rsid w:val="00CF7537"/>
    <w:rsid w:val="00CF7C58"/>
    <w:rsid w:val="00D02E74"/>
    <w:rsid w:val="00D04976"/>
    <w:rsid w:val="00D05563"/>
    <w:rsid w:val="00D06D97"/>
    <w:rsid w:val="00D06F67"/>
    <w:rsid w:val="00D07B94"/>
    <w:rsid w:val="00D07EC2"/>
    <w:rsid w:val="00D10015"/>
    <w:rsid w:val="00D10133"/>
    <w:rsid w:val="00D10778"/>
    <w:rsid w:val="00D10FA1"/>
    <w:rsid w:val="00D11A6D"/>
    <w:rsid w:val="00D13806"/>
    <w:rsid w:val="00D147F5"/>
    <w:rsid w:val="00D14C5D"/>
    <w:rsid w:val="00D154BD"/>
    <w:rsid w:val="00D15929"/>
    <w:rsid w:val="00D15A2A"/>
    <w:rsid w:val="00D16868"/>
    <w:rsid w:val="00D175ED"/>
    <w:rsid w:val="00D17DCE"/>
    <w:rsid w:val="00D21563"/>
    <w:rsid w:val="00D21E15"/>
    <w:rsid w:val="00D22CEF"/>
    <w:rsid w:val="00D23E6D"/>
    <w:rsid w:val="00D24B3D"/>
    <w:rsid w:val="00D2719E"/>
    <w:rsid w:val="00D2759E"/>
    <w:rsid w:val="00D27B3D"/>
    <w:rsid w:val="00D3051E"/>
    <w:rsid w:val="00D30624"/>
    <w:rsid w:val="00D31D6A"/>
    <w:rsid w:val="00D32097"/>
    <w:rsid w:val="00D33009"/>
    <w:rsid w:val="00D33ACD"/>
    <w:rsid w:val="00D348E4"/>
    <w:rsid w:val="00D369FC"/>
    <w:rsid w:val="00D40674"/>
    <w:rsid w:val="00D40DAB"/>
    <w:rsid w:val="00D4171F"/>
    <w:rsid w:val="00D430B6"/>
    <w:rsid w:val="00D44B63"/>
    <w:rsid w:val="00D5026F"/>
    <w:rsid w:val="00D51146"/>
    <w:rsid w:val="00D5147E"/>
    <w:rsid w:val="00D51890"/>
    <w:rsid w:val="00D51B09"/>
    <w:rsid w:val="00D51C68"/>
    <w:rsid w:val="00D53155"/>
    <w:rsid w:val="00D53BD8"/>
    <w:rsid w:val="00D54DB1"/>
    <w:rsid w:val="00D5568B"/>
    <w:rsid w:val="00D55C99"/>
    <w:rsid w:val="00D5620B"/>
    <w:rsid w:val="00D56839"/>
    <w:rsid w:val="00D56A09"/>
    <w:rsid w:val="00D611F3"/>
    <w:rsid w:val="00D61897"/>
    <w:rsid w:val="00D62316"/>
    <w:rsid w:val="00D627D5"/>
    <w:rsid w:val="00D63046"/>
    <w:rsid w:val="00D65BEE"/>
    <w:rsid w:val="00D66AA4"/>
    <w:rsid w:val="00D675D0"/>
    <w:rsid w:val="00D701A1"/>
    <w:rsid w:val="00D71842"/>
    <w:rsid w:val="00D71CAC"/>
    <w:rsid w:val="00D720C2"/>
    <w:rsid w:val="00D72E1A"/>
    <w:rsid w:val="00D74138"/>
    <w:rsid w:val="00D74EF6"/>
    <w:rsid w:val="00D76CD8"/>
    <w:rsid w:val="00D8005F"/>
    <w:rsid w:val="00D8023F"/>
    <w:rsid w:val="00D82B0E"/>
    <w:rsid w:val="00D83441"/>
    <w:rsid w:val="00D84E2B"/>
    <w:rsid w:val="00D85514"/>
    <w:rsid w:val="00D86233"/>
    <w:rsid w:val="00D87747"/>
    <w:rsid w:val="00D87CA4"/>
    <w:rsid w:val="00D90384"/>
    <w:rsid w:val="00D90C34"/>
    <w:rsid w:val="00D91202"/>
    <w:rsid w:val="00D93BE3"/>
    <w:rsid w:val="00D94390"/>
    <w:rsid w:val="00D945AF"/>
    <w:rsid w:val="00D9542E"/>
    <w:rsid w:val="00D957EA"/>
    <w:rsid w:val="00D958E3"/>
    <w:rsid w:val="00DA1218"/>
    <w:rsid w:val="00DA19A1"/>
    <w:rsid w:val="00DA50BE"/>
    <w:rsid w:val="00DA5683"/>
    <w:rsid w:val="00DA711A"/>
    <w:rsid w:val="00DB11AA"/>
    <w:rsid w:val="00DB11F4"/>
    <w:rsid w:val="00DB14D9"/>
    <w:rsid w:val="00DB18A3"/>
    <w:rsid w:val="00DB20BE"/>
    <w:rsid w:val="00DB3288"/>
    <w:rsid w:val="00DC0010"/>
    <w:rsid w:val="00DC09D9"/>
    <w:rsid w:val="00DC10A9"/>
    <w:rsid w:val="00DC1896"/>
    <w:rsid w:val="00DC19D1"/>
    <w:rsid w:val="00DC1A29"/>
    <w:rsid w:val="00DC1D4C"/>
    <w:rsid w:val="00DC3F52"/>
    <w:rsid w:val="00DC4267"/>
    <w:rsid w:val="00DC4A9D"/>
    <w:rsid w:val="00DC4EE4"/>
    <w:rsid w:val="00DC5DB3"/>
    <w:rsid w:val="00DD0B61"/>
    <w:rsid w:val="00DD1DCF"/>
    <w:rsid w:val="00DD2039"/>
    <w:rsid w:val="00DD2ED7"/>
    <w:rsid w:val="00DD356D"/>
    <w:rsid w:val="00DD3A0A"/>
    <w:rsid w:val="00DD41C8"/>
    <w:rsid w:val="00DD6237"/>
    <w:rsid w:val="00DD714E"/>
    <w:rsid w:val="00DE0158"/>
    <w:rsid w:val="00DE038A"/>
    <w:rsid w:val="00DE135B"/>
    <w:rsid w:val="00DE13AB"/>
    <w:rsid w:val="00DE1C7E"/>
    <w:rsid w:val="00DE31AD"/>
    <w:rsid w:val="00DE4619"/>
    <w:rsid w:val="00DE714A"/>
    <w:rsid w:val="00DE7652"/>
    <w:rsid w:val="00DF04D6"/>
    <w:rsid w:val="00DF0B8D"/>
    <w:rsid w:val="00DF0F9A"/>
    <w:rsid w:val="00DF186B"/>
    <w:rsid w:val="00DF1EEA"/>
    <w:rsid w:val="00DF25FE"/>
    <w:rsid w:val="00DF27CE"/>
    <w:rsid w:val="00DF2A89"/>
    <w:rsid w:val="00DF2CB8"/>
    <w:rsid w:val="00DF3A66"/>
    <w:rsid w:val="00DF3E32"/>
    <w:rsid w:val="00DF6D88"/>
    <w:rsid w:val="00DF708D"/>
    <w:rsid w:val="00DF73AC"/>
    <w:rsid w:val="00DF7613"/>
    <w:rsid w:val="00E007C7"/>
    <w:rsid w:val="00E009AC"/>
    <w:rsid w:val="00E04943"/>
    <w:rsid w:val="00E052E0"/>
    <w:rsid w:val="00E063DF"/>
    <w:rsid w:val="00E06DB0"/>
    <w:rsid w:val="00E1078A"/>
    <w:rsid w:val="00E10B86"/>
    <w:rsid w:val="00E11BD7"/>
    <w:rsid w:val="00E11D4A"/>
    <w:rsid w:val="00E11D4C"/>
    <w:rsid w:val="00E13359"/>
    <w:rsid w:val="00E13802"/>
    <w:rsid w:val="00E14E0C"/>
    <w:rsid w:val="00E14E59"/>
    <w:rsid w:val="00E152CF"/>
    <w:rsid w:val="00E1556C"/>
    <w:rsid w:val="00E158C4"/>
    <w:rsid w:val="00E15AA3"/>
    <w:rsid w:val="00E16DF8"/>
    <w:rsid w:val="00E20296"/>
    <w:rsid w:val="00E209D1"/>
    <w:rsid w:val="00E20EC0"/>
    <w:rsid w:val="00E21452"/>
    <w:rsid w:val="00E216E5"/>
    <w:rsid w:val="00E237D1"/>
    <w:rsid w:val="00E2410B"/>
    <w:rsid w:val="00E244B4"/>
    <w:rsid w:val="00E2520C"/>
    <w:rsid w:val="00E2793E"/>
    <w:rsid w:val="00E30E8D"/>
    <w:rsid w:val="00E326C5"/>
    <w:rsid w:val="00E3384C"/>
    <w:rsid w:val="00E34E86"/>
    <w:rsid w:val="00E35478"/>
    <w:rsid w:val="00E359CA"/>
    <w:rsid w:val="00E3673D"/>
    <w:rsid w:val="00E41835"/>
    <w:rsid w:val="00E42776"/>
    <w:rsid w:val="00E43661"/>
    <w:rsid w:val="00E43BD5"/>
    <w:rsid w:val="00E43E13"/>
    <w:rsid w:val="00E4454D"/>
    <w:rsid w:val="00E45DD4"/>
    <w:rsid w:val="00E45E67"/>
    <w:rsid w:val="00E46774"/>
    <w:rsid w:val="00E468B7"/>
    <w:rsid w:val="00E47101"/>
    <w:rsid w:val="00E50821"/>
    <w:rsid w:val="00E5332E"/>
    <w:rsid w:val="00E53541"/>
    <w:rsid w:val="00E5398C"/>
    <w:rsid w:val="00E53C61"/>
    <w:rsid w:val="00E53E59"/>
    <w:rsid w:val="00E53E98"/>
    <w:rsid w:val="00E5409B"/>
    <w:rsid w:val="00E541F4"/>
    <w:rsid w:val="00E54ADA"/>
    <w:rsid w:val="00E550A8"/>
    <w:rsid w:val="00E55EFF"/>
    <w:rsid w:val="00E60466"/>
    <w:rsid w:val="00E604F7"/>
    <w:rsid w:val="00E60523"/>
    <w:rsid w:val="00E60C67"/>
    <w:rsid w:val="00E60C83"/>
    <w:rsid w:val="00E60D4C"/>
    <w:rsid w:val="00E61418"/>
    <w:rsid w:val="00E628D6"/>
    <w:rsid w:val="00E63323"/>
    <w:rsid w:val="00E63691"/>
    <w:rsid w:val="00E63D71"/>
    <w:rsid w:val="00E64767"/>
    <w:rsid w:val="00E65EE0"/>
    <w:rsid w:val="00E66160"/>
    <w:rsid w:val="00E67F31"/>
    <w:rsid w:val="00E701C2"/>
    <w:rsid w:val="00E70DE5"/>
    <w:rsid w:val="00E71E31"/>
    <w:rsid w:val="00E725B1"/>
    <w:rsid w:val="00E73012"/>
    <w:rsid w:val="00E76B97"/>
    <w:rsid w:val="00E777F8"/>
    <w:rsid w:val="00E8158A"/>
    <w:rsid w:val="00E8169A"/>
    <w:rsid w:val="00E81B5B"/>
    <w:rsid w:val="00E8348E"/>
    <w:rsid w:val="00E84296"/>
    <w:rsid w:val="00E84B03"/>
    <w:rsid w:val="00E87A93"/>
    <w:rsid w:val="00E87B10"/>
    <w:rsid w:val="00E902AB"/>
    <w:rsid w:val="00E90C53"/>
    <w:rsid w:val="00E90D3B"/>
    <w:rsid w:val="00E90F78"/>
    <w:rsid w:val="00E91637"/>
    <w:rsid w:val="00E91A36"/>
    <w:rsid w:val="00E91DF8"/>
    <w:rsid w:val="00E92776"/>
    <w:rsid w:val="00E92A40"/>
    <w:rsid w:val="00E9308B"/>
    <w:rsid w:val="00E93471"/>
    <w:rsid w:val="00E941D4"/>
    <w:rsid w:val="00E9557B"/>
    <w:rsid w:val="00E958B5"/>
    <w:rsid w:val="00E95A75"/>
    <w:rsid w:val="00E95EBC"/>
    <w:rsid w:val="00EA0256"/>
    <w:rsid w:val="00EA1043"/>
    <w:rsid w:val="00EA15EC"/>
    <w:rsid w:val="00EA1E56"/>
    <w:rsid w:val="00EA2847"/>
    <w:rsid w:val="00EA39E8"/>
    <w:rsid w:val="00EA4766"/>
    <w:rsid w:val="00EA4B34"/>
    <w:rsid w:val="00EA5A4D"/>
    <w:rsid w:val="00EA633E"/>
    <w:rsid w:val="00EA6792"/>
    <w:rsid w:val="00EA6C38"/>
    <w:rsid w:val="00EA6DCE"/>
    <w:rsid w:val="00EA74F7"/>
    <w:rsid w:val="00EA76B8"/>
    <w:rsid w:val="00EA773E"/>
    <w:rsid w:val="00EA7807"/>
    <w:rsid w:val="00EA7A98"/>
    <w:rsid w:val="00EB17B9"/>
    <w:rsid w:val="00EB25B1"/>
    <w:rsid w:val="00EB2D06"/>
    <w:rsid w:val="00EB3120"/>
    <w:rsid w:val="00EB3418"/>
    <w:rsid w:val="00EB45BB"/>
    <w:rsid w:val="00EC03BE"/>
    <w:rsid w:val="00EC0A0C"/>
    <w:rsid w:val="00EC140E"/>
    <w:rsid w:val="00EC1B2D"/>
    <w:rsid w:val="00EC1D3E"/>
    <w:rsid w:val="00EC27D3"/>
    <w:rsid w:val="00EC3ACA"/>
    <w:rsid w:val="00EC4AF7"/>
    <w:rsid w:val="00EC5328"/>
    <w:rsid w:val="00EC62BA"/>
    <w:rsid w:val="00EC6D1B"/>
    <w:rsid w:val="00EC781B"/>
    <w:rsid w:val="00ED00DE"/>
    <w:rsid w:val="00ED048F"/>
    <w:rsid w:val="00ED0992"/>
    <w:rsid w:val="00ED0A8D"/>
    <w:rsid w:val="00ED135E"/>
    <w:rsid w:val="00ED337E"/>
    <w:rsid w:val="00EE0233"/>
    <w:rsid w:val="00EE082D"/>
    <w:rsid w:val="00EE08C5"/>
    <w:rsid w:val="00EE0A20"/>
    <w:rsid w:val="00EE4827"/>
    <w:rsid w:val="00EF006D"/>
    <w:rsid w:val="00EF0222"/>
    <w:rsid w:val="00EF0DBD"/>
    <w:rsid w:val="00EF12AC"/>
    <w:rsid w:val="00EF21E2"/>
    <w:rsid w:val="00EF2C8E"/>
    <w:rsid w:val="00EF2D06"/>
    <w:rsid w:val="00EF2E76"/>
    <w:rsid w:val="00EF59B3"/>
    <w:rsid w:val="00EF6771"/>
    <w:rsid w:val="00EF692D"/>
    <w:rsid w:val="00EF6A09"/>
    <w:rsid w:val="00EF72A1"/>
    <w:rsid w:val="00EF738B"/>
    <w:rsid w:val="00F00CA8"/>
    <w:rsid w:val="00F01548"/>
    <w:rsid w:val="00F01774"/>
    <w:rsid w:val="00F01D83"/>
    <w:rsid w:val="00F01FD0"/>
    <w:rsid w:val="00F023C1"/>
    <w:rsid w:val="00F0387E"/>
    <w:rsid w:val="00F03B43"/>
    <w:rsid w:val="00F040F9"/>
    <w:rsid w:val="00F06541"/>
    <w:rsid w:val="00F070D6"/>
    <w:rsid w:val="00F07F4E"/>
    <w:rsid w:val="00F102D7"/>
    <w:rsid w:val="00F11730"/>
    <w:rsid w:val="00F12AD3"/>
    <w:rsid w:val="00F133E1"/>
    <w:rsid w:val="00F1444B"/>
    <w:rsid w:val="00F15D19"/>
    <w:rsid w:val="00F16046"/>
    <w:rsid w:val="00F17185"/>
    <w:rsid w:val="00F17379"/>
    <w:rsid w:val="00F173FD"/>
    <w:rsid w:val="00F2058B"/>
    <w:rsid w:val="00F20DB4"/>
    <w:rsid w:val="00F212BA"/>
    <w:rsid w:val="00F229F9"/>
    <w:rsid w:val="00F2372B"/>
    <w:rsid w:val="00F26088"/>
    <w:rsid w:val="00F2776C"/>
    <w:rsid w:val="00F27C7B"/>
    <w:rsid w:val="00F30825"/>
    <w:rsid w:val="00F30B86"/>
    <w:rsid w:val="00F3162C"/>
    <w:rsid w:val="00F32027"/>
    <w:rsid w:val="00F32A82"/>
    <w:rsid w:val="00F32FFD"/>
    <w:rsid w:val="00F34BD1"/>
    <w:rsid w:val="00F370D1"/>
    <w:rsid w:val="00F42901"/>
    <w:rsid w:val="00F42A56"/>
    <w:rsid w:val="00F45E58"/>
    <w:rsid w:val="00F46173"/>
    <w:rsid w:val="00F47ABE"/>
    <w:rsid w:val="00F50EF1"/>
    <w:rsid w:val="00F5167E"/>
    <w:rsid w:val="00F52814"/>
    <w:rsid w:val="00F53998"/>
    <w:rsid w:val="00F55638"/>
    <w:rsid w:val="00F557F5"/>
    <w:rsid w:val="00F56484"/>
    <w:rsid w:val="00F56C05"/>
    <w:rsid w:val="00F56E59"/>
    <w:rsid w:val="00F60660"/>
    <w:rsid w:val="00F61161"/>
    <w:rsid w:val="00F6182E"/>
    <w:rsid w:val="00F61CD7"/>
    <w:rsid w:val="00F628A6"/>
    <w:rsid w:val="00F62EA8"/>
    <w:rsid w:val="00F632FA"/>
    <w:rsid w:val="00F63B0A"/>
    <w:rsid w:val="00F63DC4"/>
    <w:rsid w:val="00F63E12"/>
    <w:rsid w:val="00F6537B"/>
    <w:rsid w:val="00F66D2F"/>
    <w:rsid w:val="00F67546"/>
    <w:rsid w:val="00F7024B"/>
    <w:rsid w:val="00F70310"/>
    <w:rsid w:val="00F70C7A"/>
    <w:rsid w:val="00F71912"/>
    <w:rsid w:val="00F735BB"/>
    <w:rsid w:val="00F74937"/>
    <w:rsid w:val="00F7496A"/>
    <w:rsid w:val="00F774C1"/>
    <w:rsid w:val="00F805C8"/>
    <w:rsid w:val="00F809BC"/>
    <w:rsid w:val="00F816D7"/>
    <w:rsid w:val="00F82A79"/>
    <w:rsid w:val="00F82E49"/>
    <w:rsid w:val="00F8318B"/>
    <w:rsid w:val="00F83C00"/>
    <w:rsid w:val="00F84490"/>
    <w:rsid w:val="00F85A28"/>
    <w:rsid w:val="00F85DC0"/>
    <w:rsid w:val="00F8600B"/>
    <w:rsid w:val="00F866FB"/>
    <w:rsid w:val="00F87441"/>
    <w:rsid w:val="00F87611"/>
    <w:rsid w:val="00F901D6"/>
    <w:rsid w:val="00F902CB"/>
    <w:rsid w:val="00F9085B"/>
    <w:rsid w:val="00F90D2E"/>
    <w:rsid w:val="00F92B60"/>
    <w:rsid w:val="00F92B97"/>
    <w:rsid w:val="00F9397F"/>
    <w:rsid w:val="00F93DAF"/>
    <w:rsid w:val="00F94036"/>
    <w:rsid w:val="00F94C74"/>
    <w:rsid w:val="00F95ADC"/>
    <w:rsid w:val="00F97AB2"/>
    <w:rsid w:val="00FA1886"/>
    <w:rsid w:val="00FA1977"/>
    <w:rsid w:val="00FA1C81"/>
    <w:rsid w:val="00FA37F1"/>
    <w:rsid w:val="00FA3983"/>
    <w:rsid w:val="00FA3A60"/>
    <w:rsid w:val="00FA49ED"/>
    <w:rsid w:val="00FA5AD3"/>
    <w:rsid w:val="00FA6ECB"/>
    <w:rsid w:val="00FA73F2"/>
    <w:rsid w:val="00FA77AE"/>
    <w:rsid w:val="00FA7C6D"/>
    <w:rsid w:val="00FB03EA"/>
    <w:rsid w:val="00FB1962"/>
    <w:rsid w:val="00FB4A17"/>
    <w:rsid w:val="00FB4F84"/>
    <w:rsid w:val="00FB52F3"/>
    <w:rsid w:val="00FB57DB"/>
    <w:rsid w:val="00FB6769"/>
    <w:rsid w:val="00FB6B74"/>
    <w:rsid w:val="00FB6C6B"/>
    <w:rsid w:val="00FB7598"/>
    <w:rsid w:val="00FB7C17"/>
    <w:rsid w:val="00FC0D33"/>
    <w:rsid w:val="00FC1D4F"/>
    <w:rsid w:val="00FC279C"/>
    <w:rsid w:val="00FC2BA3"/>
    <w:rsid w:val="00FC48AA"/>
    <w:rsid w:val="00FC6C75"/>
    <w:rsid w:val="00FC71D7"/>
    <w:rsid w:val="00FC79E0"/>
    <w:rsid w:val="00FD0D5B"/>
    <w:rsid w:val="00FD1195"/>
    <w:rsid w:val="00FD194D"/>
    <w:rsid w:val="00FD1E19"/>
    <w:rsid w:val="00FD2879"/>
    <w:rsid w:val="00FD3250"/>
    <w:rsid w:val="00FD3BD9"/>
    <w:rsid w:val="00FD43DB"/>
    <w:rsid w:val="00FD73F6"/>
    <w:rsid w:val="00FD7DAF"/>
    <w:rsid w:val="00FE06A2"/>
    <w:rsid w:val="00FE085B"/>
    <w:rsid w:val="00FE11A8"/>
    <w:rsid w:val="00FE1F6A"/>
    <w:rsid w:val="00FE47D5"/>
    <w:rsid w:val="00FE5C15"/>
    <w:rsid w:val="00FF1FA5"/>
    <w:rsid w:val="00FF29BA"/>
    <w:rsid w:val="00FF2B38"/>
    <w:rsid w:val="00FF2D1C"/>
    <w:rsid w:val="00FF4078"/>
    <w:rsid w:val="00FF4697"/>
    <w:rsid w:val="00FF4ADC"/>
    <w:rsid w:val="00FF4D8E"/>
    <w:rsid w:val="00FF528A"/>
    <w:rsid w:val="00FF563D"/>
    <w:rsid w:val="00FF56D7"/>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4EC514"/>
  <w15:docId w15:val="{E753E16E-FC1C-47C6-B9D7-10A1F7B9D2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ko-KR" w:bidi="ar-SA"/>
      </w:rPr>
    </w:rPrDefault>
    <w:pPrDefault>
      <w:pPr>
        <w:spacing w:before="60" w:after="120" w:line="288" w:lineRule="auto"/>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1669"/>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num" w:pos="0"/>
        <w:tab w:val="left" w:pos="426"/>
      </w:tabs>
      <w:overflowPunct w:val="0"/>
      <w:autoSpaceDE w:val="0"/>
      <w:autoSpaceDN w:val="0"/>
      <w:adjustRightInd w:val="0"/>
      <w:spacing w:before="240" w:after="60"/>
      <w:ind w:left="799" w:hanging="799"/>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72162A"/>
    <w:rPr>
      <w:rFonts w:ascii="Arial" w:eastAsia="Malgun Gothic" w:hAnsi="Arial"/>
      <w:b/>
      <w:noProof/>
      <w:sz w:val="18"/>
      <w:lang w:val="en-GB" w:eastAsia="en-US" w:bidi="ar-SA"/>
    </w:rPr>
  </w:style>
  <w:style w:type="paragraph" w:customStyle="1" w:styleId="CRCoverPage">
    <w:name w:val="CR Cover Page"/>
    <w:rsid w:val="0072162A"/>
    <w:rPr>
      <w:rFonts w:ascii="Arial" w:eastAsia="Malgun Gothic" w:hAnsi="Arial"/>
      <w:lang w:val="en-GB" w:eastAsia="en-US"/>
    </w:rPr>
  </w:style>
  <w:style w:type="paragraph" w:styleId="ListParagraph">
    <w:name w:val="List Paragraph"/>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1 Char,cap Char Char1,Caption Char Char1 Char,Caption Char2,Caption Char Char Char,Caption Char Char1,fig and tbl,fighead2,Table Caption,fighead21,fighead22,fighead23,Table Caption1,fighead211,cap Char2"/>
    <w:basedOn w:val="Normal"/>
    <w:next w:val="Normal"/>
    <w:link w:val="CaptionChar"/>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ind w:firstLineChars="200" w:firstLine="200"/>
    </w:pPr>
    <w:rPr>
      <w:rFonts w:cs="Batang"/>
    </w:rPr>
  </w:style>
  <w:style w:type="paragraph" w:customStyle="1" w:styleId="6pt6pt12">
    <w:name w:val="스타일 목록 단락 + 양쪽 앞: 6 pt 단락 뒤: 6 pt 줄 간격: 배수 1.2 줄"/>
    <w:basedOn w:val="ListParagraph"/>
    <w:rsid w:val="00FC71D7"/>
    <w:pPr>
      <w:spacing w:before="120"/>
      <w:ind w:left="400"/>
    </w:pPr>
    <w:rPr>
      <w:rFonts w:cs="Batang"/>
    </w:rPr>
  </w:style>
  <w:style w:type="paragraph" w:customStyle="1" w:styleId="a">
    <w:name w:val="스타일 양쪽"/>
    <w:basedOn w:val="Normal"/>
    <w:rsid w:val="00FC71D7"/>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ind w:firstLineChars="200" w:firstLine="200"/>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line="336" w:lineRule="auto"/>
      <w:ind w:leftChars="0" w:left="0"/>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after="60"/>
      <w:ind w:left="360" w:hanging="360"/>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line="336" w:lineRule="auto"/>
      <w:ind w:firstLine="397"/>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pPr>
    <w:rPr>
      <w:rFonts w:eastAsia="Arial Unicode MS" w:cs="Arial"/>
      <w:kern w:val="2"/>
      <w:sz w:val="21"/>
      <w:lang w:eastAsia="zh-CN"/>
    </w:rPr>
  </w:style>
  <w:style w:type="paragraph" w:customStyle="1" w:styleId="maintext">
    <w:name w:val="main text"/>
    <w:basedOn w:val="2222"/>
    <w:link w:val="maintextChar"/>
    <w:qFormat/>
    <w:rsid w:val="006E6697"/>
    <w:pPr>
      <w:spacing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 w:type="paragraph" w:styleId="DocumentMap">
    <w:name w:val="Document Map"/>
    <w:basedOn w:val="Normal"/>
    <w:link w:val="DocumentMapChar"/>
    <w:semiHidden/>
    <w:unhideWhenUsed/>
    <w:rsid w:val="00B7558B"/>
    <w:rPr>
      <w:rFonts w:ascii="Gulim" w:eastAsia="Gulim"/>
      <w:sz w:val="18"/>
      <w:szCs w:val="18"/>
    </w:rPr>
  </w:style>
  <w:style w:type="character" w:customStyle="1" w:styleId="DocumentMapChar">
    <w:name w:val="Document Map Char"/>
    <w:basedOn w:val="DefaultParagraphFont"/>
    <w:link w:val="DocumentMap"/>
    <w:semiHidden/>
    <w:rsid w:val="00B7558B"/>
    <w:rPr>
      <w:rFonts w:ascii="Gulim" w:eastAsia="Gulim"/>
      <w:sz w:val="18"/>
      <w:szCs w:val="18"/>
      <w:lang w:val="en-GB" w:eastAsia="en-US"/>
    </w:rPr>
  </w:style>
  <w:style w:type="character" w:customStyle="1" w:styleId="CaptionChar">
    <w:name w:val="Caption Char"/>
    <w:aliases w:val="cap Char1,cap Char Char,Caption Char1 Char Char,cap Char Char1 Char,Caption Char Char1 Char Char,Caption Char2 Char,Caption Char Char Char Char,Caption Char Char1 Char1,fig and tbl Char,fighead2 Char,Table Caption Char,fighead21 Char"/>
    <w:link w:val="Caption"/>
    <w:rsid w:val="00897732"/>
    <w:rPr>
      <w:rFonts w:eastAsia="Malgun Gothic"/>
      <w:b/>
      <w:bCs/>
      <w:lang w:val="en-GB" w:eastAsia="en-US"/>
    </w:rPr>
  </w:style>
  <w:style w:type="character" w:styleId="PlaceholderText">
    <w:name w:val="Placeholder Text"/>
    <w:basedOn w:val="DefaultParagraphFont"/>
    <w:uiPriority w:val="99"/>
    <w:semiHidden/>
    <w:rsid w:val="00E63691"/>
    <w:rPr>
      <w:color w:val="808080"/>
    </w:rPr>
  </w:style>
  <w:style w:type="character" w:customStyle="1" w:styleId="ListParagraphChar">
    <w:name w:val="List Paragraph Char"/>
    <w:link w:val="ListParagraph"/>
    <w:uiPriority w:val="34"/>
    <w:rsid w:val="00A55670"/>
    <w:rPr>
      <w:rFonts w:eastAsia="Malgun Gothic"/>
      <w:lang w:val="en-GB" w:eastAsia="en-US"/>
    </w:rPr>
  </w:style>
  <w:style w:type="paragraph" w:customStyle="1" w:styleId="B2">
    <w:name w:val="B2"/>
    <w:basedOn w:val="List2"/>
    <w:uiPriority w:val="99"/>
    <w:rsid w:val="005A6772"/>
    <w:pPr>
      <w:overflowPunct w:val="0"/>
      <w:autoSpaceDE w:val="0"/>
      <w:autoSpaceDN w:val="0"/>
      <w:adjustRightInd w:val="0"/>
      <w:spacing w:before="0" w:after="180" w:line="240" w:lineRule="auto"/>
      <w:ind w:left="851" w:hanging="284"/>
      <w:contextualSpacing w:val="0"/>
      <w:jc w:val="left"/>
      <w:textAlignment w:val="baseline"/>
    </w:pPr>
    <w:rPr>
      <w:rFonts w:eastAsia="MS Mincho"/>
    </w:rPr>
  </w:style>
  <w:style w:type="paragraph" w:styleId="List2">
    <w:name w:val="List 2"/>
    <w:basedOn w:val="Normal"/>
    <w:semiHidden/>
    <w:unhideWhenUsed/>
    <w:rsid w:val="005A6772"/>
    <w:pPr>
      <w:ind w:left="720" w:hanging="360"/>
      <w:contextualSpacing/>
    </w:pPr>
  </w:style>
  <w:style w:type="table" w:styleId="ListTable3-Accent1">
    <w:name w:val="List Table 3 Accent 1"/>
    <w:basedOn w:val="TableNormal"/>
    <w:uiPriority w:val="48"/>
    <w:rsid w:val="00222D51"/>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styleId="GridTable1Light">
    <w:name w:val="Grid Table 1 Light"/>
    <w:basedOn w:val="TableNormal"/>
    <w:uiPriority w:val="46"/>
    <w:rsid w:val="00DF0F9A"/>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233611">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15040528">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738481160">
          <w:marLeft w:val="1166"/>
          <w:marRight w:val="0"/>
          <w:marTop w:val="40"/>
          <w:marBottom w:val="40"/>
          <w:divBdr>
            <w:top w:val="none" w:sz="0" w:space="0" w:color="auto"/>
            <w:left w:val="none" w:sz="0" w:space="0" w:color="auto"/>
            <w:bottom w:val="none" w:sz="0" w:space="0" w:color="auto"/>
            <w:right w:val="none" w:sz="0" w:space="0" w:color="auto"/>
          </w:divBdr>
        </w:div>
        <w:div w:id="1018048773">
          <w:marLeft w:val="1166"/>
          <w:marRight w:val="0"/>
          <w:marTop w:val="40"/>
          <w:marBottom w:val="40"/>
          <w:divBdr>
            <w:top w:val="none" w:sz="0" w:space="0" w:color="auto"/>
            <w:left w:val="none" w:sz="0" w:space="0" w:color="auto"/>
            <w:bottom w:val="none" w:sz="0" w:space="0" w:color="auto"/>
            <w:right w:val="none" w:sz="0" w:space="0" w:color="auto"/>
          </w:divBdr>
        </w:div>
      </w:divsChild>
    </w:div>
    <w:div w:id="561335241">
      <w:bodyDiv w:val="1"/>
      <w:marLeft w:val="0"/>
      <w:marRight w:val="0"/>
      <w:marTop w:val="0"/>
      <w:marBottom w:val="0"/>
      <w:divBdr>
        <w:top w:val="none" w:sz="0" w:space="0" w:color="auto"/>
        <w:left w:val="none" w:sz="0" w:space="0" w:color="auto"/>
        <w:bottom w:val="none" w:sz="0" w:space="0" w:color="auto"/>
        <w:right w:val="none" w:sz="0" w:space="0" w:color="auto"/>
      </w:divBdr>
    </w:div>
    <w:div w:id="635262950">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69164951">
      <w:bodyDiv w:val="1"/>
      <w:marLeft w:val="0"/>
      <w:marRight w:val="0"/>
      <w:marTop w:val="0"/>
      <w:marBottom w:val="0"/>
      <w:divBdr>
        <w:top w:val="none" w:sz="0" w:space="0" w:color="auto"/>
        <w:left w:val="none" w:sz="0" w:space="0" w:color="auto"/>
        <w:bottom w:val="none" w:sz="0" w:space="0" w:color="auto"/>
        <w:right w:val="none" w:sz="0" w:space="0" w:color="auto"/>
      </w:divBdr>
      <w:divsChild>
        <w:div w:id="1845122472">
          <w:marLeft w:val="446"/>
          <w:marRight w:val="0"/>
          <w:marTop w:val="0"/>
          <w:marBottom w:val="0"/>
          <w:divBdr>
            <w:top w:val="none" w:sz="0" w:space="0" w:color="auto"/>
            <w:left w:val="none" w:sz="0" w:space="0" w:color="auto"/>
            <w:bottom w:val="none" w:sz="0" w:space="0" w:color="auto"/>
            <w:right w:val="none" w:sz="0" w:space="0" w:color="auto"/>
          </w:divBdr>
        </w:div>
      </w:divsChild>
    </w:div>
    <w:div w:id="1110927737">
      <w:bodyDiv w:val="1"/>
      <w:marLeft w:val="0"/>
      <w:marRight w:val="0"/>
      <w:marTop w:val="0"/>
      <w:marBottom w:val="0"/>
      <w:divBdr>
        <w:top w:val="none" w:sz="0" w:space="0" w:color="auto"/>
        <w:left w:val="none" w:sz="0" w:space="0" w:color="auto"/>
        <w:bottom w:val="none" w:sz="0" w:space="0" w:color="auto"/>
        <w:right w:val="none" w:sz="0" w:space="0" w:color="auto"/>
      </w:divBdr>
      <w:divsChild>
        <w:div w:id="620766526">
          <w:marLeft w:val="446"/>
          <w:marRight w:val="0"/>
          <w:marTop w:val="0"/>
          <w:marBottom w:val="120"/>
          <w:divBdr>
            <w:top w:val="none" w:sz="0" w:space="0" w:color="auto"/>
            <w:left w:val="none" w:sz="0" w:space="0" w:color="auto"/>
            <w:bottom w:val="none" w:sz="0" w:space="0" w:color="auto"/>
            <w:right w:val="none" w:sz="0" w:space="0" w:color="auto"/>
          </w:divBdr>
        </w:div>
      </w:divsChild>
    </w:div>
    <w:div w:id="1149521713">
      <w:bodyDiv w:val="1"/>
      <w:marLeft w:val="0"/>
      <w:marRight w:val="0"/>
      <w:marTop w:val="0"/>
      <w:marBottom w:val="0"/>
      <w:divBdr>
        <w:top w:val="none" w:sz="0" w:space="0" w:color="auto"/>
        <w:left w:val="none" w:sz="0" w:space="0" w:color="auto"/>
        <w:bottom w:val="none" w:sz="0" w:space="0" w:color="auto"/>
        <w:right w:val="none" w:sz="0" w:space="0" w:color="auto"/>
      </w:divBdr>
    </w:div>
    <w:div w:id="1466964329">
      <w:bodyDiv w:val="1"/>
      <w:marLeft w:val="0"/>
      <w:marRight w:val="0"/>
      <w:marTop w:val="0"/>
      <w:marBottom w:val="0"/>
      <w:divBdr>
        <w:top w:val="none" w:sz="0" w:space="0" w:color="auto"/>
        <w:left w:val="none" w:sz="0" w:space="0" w:color="auto"/>
        <w:bottom w:val="none" w:sz="0" w:space="0" w:color="auto"/>
        <w:right w:val="none" w:sz="0" w:space="0" w:color="auto"/>
      </w:divBdr>
      <w:divsChild>
        <w:div w:id="1244102008">
          <w:marLeft w:val="446"/>
          <w:marRight w:val="0"/>
          <w:marTop w:val="0"/>
          <w:marBottom w:val="120"/>
          <w:divBdr>
            <w:top w:val="none" w:sz="0" w:space="0" w:color="auto"/>
            <w:left w:val="none" w:sz="0" w:space="0" w:color="auto"/>
            <w:bottom w:val="none" w:sz="0" w:space="0" w:color="auto"/>
            <w:right w:val="none" w:sz="0" w:space="0" w:color="auto"/>
          </w:divBdr>
        </w:div>
        <w:div w:id="1929538579">
          <w:marLeft w:val="1166"/>
          <w:marRight w:val="0"/>
          <w:marTop w:val="0"/>
          <w:marBottom w:val="120"/>
          <w:divBdr>
            <w:top w:val="none" w:sz="0" w:space="0" w:color="auto"/>
            <w:left w:val="none" w:sz="0" w:space="0" w:color="auto"/>
            <w:bottom w:val="none" w:sz="0" w:space="0" w:color="auto"/>
            <w:right w:val="none" w:sz="0" w:space="0" w:color="auto"/>
          </w:divBdr>
        </w:div>
        <w:div w:id="1945184208">
          <w:marLeft w:val="446"/>
          <w:marRight w:val="0"/>
          <w:marTop w:val="0"/>
          <w:marBottom w:val="120"/>
          <w:divBdr>
            <w:top w:val="none" w:sz="0" w:space="0" w:color="auto"/>
            <w:left w:val="none" w:sz="0" w:space="0" w:color="auto"/>
            <w:bottom w:val="none" w:sz="0" w:space="0" w:color="auto"/>
            <w:right w:val="none" w:sz="0" w:space="0" w:color="auto"/>
          </w:divBdr>
        </w:div>
        <w:div w:id="946935911">
          <w:marLeft w:val="1166"/>
          <w:marRight w:val="0"/>
          <w:marTop w:val="0"/>
          <w:marBottom w:val="120"/>
          <w:divBdr>
            <w:top w:val="none" w:sz="0" w:space="0" w:color="auto"/>
            <w:left w:val="none" w:sz="0" w:space="0" w:color="auto"/>
            <w:bottom w:val="none" w:sz="0" w:space="0" w:color="auto"/>
            <w:right w:val="none" w:sz="0" w:space="0" w:color="auto"/>
          </w:divBdr>
        </w:div>
        <w:div w:id="1234701522">
          <w:marLeft w:val="446"/>
          <w:marRight w:val="0"/>
          <w:marTop w:val="0"/>
          <w:marBottom w:val="120"/>
          <w:divBdr>
            <w:top w:val="none" w:sz="0" w:space="0" w:color="auto"/>
            <w:left w:val="none" w:sz="0" w:space="0" w:color="auto"/>
            <w:bottom w:val="none" w:sz="0" w:space="0" w:color="auto"/>
            <w:right w:val="none" w:sz="0" w:space="0" w:color="auto"/>
          </w:divBdr>
        </w:div>
      </w:divsChild>
    </w:div>
    <w:div w:id="1705668106">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39207104">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96428671">
      <w:bodyDiv w:val="1"/>
      <w:marLeft w:val="0"/>
      <w:marRight w:val="0"/>
      <w:marTop w:val="0"/>
      <w:marBottom w:val="0"/>
      <w:divBdr>
        <w:top w:val="none" w:sz="0" w:space="0" w:color="auto"/>
        <w:left w:val="none" w:sz="0" w:space="0" w:color="auto"/>
        <w:bottom w:val="none" w:sz="0" w:space="0" w:color="auto"/>
        <w:right w:val="none" w:sz="0" w:space="0" w:color="auto"/>
      </w:divBdr>
      <w:divsChild>
        <w:div w:id="1624580194">
          <w:marLeft w:val="446"/>
          <w:marRight w:val="0"/>
          <w:marTop w:val="0"/>
          <w:marBottom w:val="120"/>
          <w:divBdr>
            <w:top w:val="none" w:sz="0" w:space="0" w:color="auto"/>
            <w:left w:val="none" w:sz="0" w:space="0" w:color="auto"/>
            <w:bottom w:val="none" w:sz="0" w:space="0" w:color="auto"/>
            <w:right w:val="none" w:sz="0" w:space="0" w:color="auto"/>
          </w:divBdr>
        </w:div>
      </w:divsChild>
    </w:div>
    <w:div w:id="2004580758">
      <w:bodyDiv w:val="1"/>
      <w:marLeft w:val="0"/>
      <w:marRight w:val="0"/>
      <w:marTop w:val="0"/>
      <w:marBottom w:val="0"/>
      <w:divBdr>
        <w:top w:val="none" w:sz="0" w:space="0" w:color="auto"/>
        <w:left w:val="none" w:sz="0" w:space="0" w:color="auto"/>
        <w:bottom w:val="none" w:sz="0" w:space="0" w:color="auto"/>
        <w:right w:val="none" w:sz="0" w:space="0" w:color="auto"/>
      </w:divBdr>
      <w:divsChild>
        <w:div w:id="569997260">
          <w:marLeft w:val="792"/>
          <w:marRight w:val="0"/>
          <w:marTop w:val="0"/>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75203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chart" Target="charts/chart6.xml"/><Relationship Id="rId18" Type="http://schemas.openxmlformats.org/officeDocument/2006/relationships/chart" Target="charts/chart7.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chart" Target="charts/chart5.xm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image" Target="media/image2.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5" Type="http://schemas.openxmlformats.org/officeDocument/2006/relationships/webSettings" Target="webSettings.xml"/><Relationship Id="rId15" Type="http://schemas.openxmlformats.org/officeDocument/2006/relationships/image" Target="media/image1.emf"/><Relationship Id="rId10" Type="http://schemas.openxmlformats.org/officeDocument/2006/relationships/chart" Target="charts/chart3.xm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header" Target="header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Excel_Worksheet2.xlsx"/></Relationships>
</file>

<file path=word/charts/_rels/chart3.xml.rels><?xml version="1.0" encoding="UTF-8" standalone="yes"?>
<Relationships xmlns="http://schemas.openxmlformats.org/package/2006/relationships"><Relationship Id="rId3" Type="http://schemas.openxmlformats.org/officeDocument/2006/relationships/package" Target="../embeddings/Microsoft_Excel_Worksheet3.xlsx"/><Relationship Id="rId2" Type="http://schemas.microsoft.com/office/2011/relationships/chartColorStyle" Target="colors1.xml"/><Relationship Id="rId1" Type="http://schemas.microsoft.com/office/2011/relationships/chartStyle" Target="style1.xml"/></Relationships>
</file>

<file path=word/charts/_rels/chart4.xml.rels><?xml version="1.0" encoding="UTF-8" standalone="yes"?>
<Relationships xmlns="http://schemas.openxmlformats.org/package/2006/relationships"><Relationship Id="rId3" Type="http://schemas.openxmlformats.org/officeDocument/2006/relationships/package" Target="../embeddings/Microsoft_Excel_Worksheet4.xlsx"/><Relationship Id="rId2" Type="http://schemas.microsoft.com/office/2011/relationships/chartColorStyle" Target="colors2.xml"/><Relationship Id="rId1" Type="http://schemas.microsoft.com/office/2011/relationships/chartStyle" Target="style2.xml"/></Relationships>
</file>

<file path=word/charts/_rels/chart5.xml.rels><?xml version="1.0" encoding="UTF-8" standalone="yes"?>
<Relationships xmlns="http://schemas.openxmlformats.org/package/2006/relationships"><Relationship Id="rId3" Type="http://schemas.openxmlformats.org/officeDocument/2006/relationships/package" Target="../embeddings/Microsoft_Excel_Worksheet5.xlsx"/><Relationship Id="rId2" Type="http://schemas.microsoft.com/office/2011/relationships/chartColorStyle" Target="colors3.xml"/><Relationship Id="rId1" Type="http://schemas.microsoft.com/office/2011/relationships/chartStyle" Target="style3.xml"/></Relationships>
</file>

<file path=word/charts/_rels/chart6.xml.rels><?xml version="1.0" encoding="UTF-8" standalone="yes"?>
<Relationships xmlns="http://schemas.openxmlformats.org/package/2006/relationships"><Relationship Id="rId3" Type="http://schemas.openxmlformats.org/officeDocument/2006/relationships/package" Target="../embeddings/Microsoft_Excel_Worksheet6.xlsx"/><Relationship Id="rId2" Type="http://schemas.microsoft.com/office/2011/relationships/chartColorStyle" Target="colors4.xml"/><Relationship Id="rId1" Type="http://schemas.microsoft.com/office/2011/relationships/chartStyle" Target="style4.xml"/></Relationships>
</file>

<file path=word/charts/_rels/chart7.xml.rels><?xml version="1.0" encoding="UTF-8" standalone="yes"?>
<Relationships xmlns="http://schemas.openxmlformats.org/package/2006/relationships"><Relationship Id="rId1" Type="http://schemas.openxmlformats.org/officeDocument/2006/relationships/package" Target="../embeddings/Microsoft_Excel_Worksheet7.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n-US" sz="1000" b="1" i="1" baseline="0">
                <a:solidFill>
                  <a:srgbClr val="FF0000"/>
                </a:solidFill>
                <a:effectLst/>
              </a:rPr>
              <a:t>L</a:t>
            </a:r>
            <a:r>
              <a:rPr lang="en-US" sz="1000" b="1" i="0" baseline="0">
                <a:solidFill>
                  <a:srgbClr val="FF0000"/>
                </a:solidFill>
                <a:effectLst/>
              </a:rPr>
              <a:t> = 4 beams, unquantized amp. and phase</a:t>
            </a:r>
            <a:endParaRPr lang="en-US" sz="1000">
              <a:solidFill>
                <a:srgbClr val="FF0000"/>
              </a:solidFill>
              <a:effectLst/>
            </a:endParaRPr>
          </a:p>
        </c:rich>
      </c:tx>
      <c:layout>
        <c:manualLayout>
          <c:xMode val="edge"/>
          <c:yMode val="edge"/>
          <c:x val="3.442694663167107E-2"/>
          <c:y val="0.19444444444444445"/>
        </c:manualLayout>
      </c:layout>
      <c:overlay val="1"/>
    </c:title>
    <c:autoTitleDeleted val="0"/>
    <c:plotArea>
      <c:layout/>
      <c:barChart>
        <c:barDir val="col"/>
        <c:grouping val="clustered"/>
        <c:varyColors val="0"/>
        <c:ser>
          <c:idx val="0"/>
          <c:order val="0"/>
          <c:tx>
            <c:strRef>
              <c:f>Sheet1!$B$1</c:f>
              <c:strCache>
                <c:ptCount val="1"/>
                <c:pt idx="0">
                  <c:v>R14 Adv. CSI CB</c:v>
                </c:pt>
              </c:strCache>
            </c:strRef>
          </c:tx>
          <c:spPr>
            <a:solidFill>
              <a:schemeClr val="accent1"/>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Sheet1!$A$2:$A$3</c:f>
              <c:strCache>
                <c:ptCount val="2"/>
                <c:pt idx="0">
                  <c:v>Avg. UPT</c:v>
                </c:pt>
                <c:pt idx="1">
                  <c:v>5% UPT</c:v>
                </c:pt>
              </c:strCache>
            </c:strRef>
          </c:cat>
          <c:val>
            <c:numRef>
              <c:f>Sheet1!$B$2:$B$3</c:f>
              <c:numCache>
                <c:formatCode>General</c:formatCode>
                <c:ptCount val="2"/>
                <c:pt idx="0">
                  <c:v>1</c:v>
                </c:pt>
                <c:pt idx="1">
                  <c:v>1</c:v>
                </c:pt>
              </c:numCache>
            </c:numRef>
          </c:val>
        </c:ser>
        <c:ser>
          <c:idx val="1"/>
          <c:order val="1"/>
          <c:tx>
            <c:strRef>
              <c:f>Sheet1!$C$1</c:f>
              <c:strCache>
                <c:ptCount val="1"/>
                <c:pt idx="0">
                  <c:v>WB amp., Basis 0</c:v>
                </c:pt>
              </c:strCache>
            </c:strRef>
          </c:tx>
          <c:spPr>
            <a:solidFill>
              <a:schemeClr val="accent2"/>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Sheet1!$A$2:$A$3</c:f>
              <c:strCache>
                <c:ptCount val="2"/>
                <c:pt idx="0">
                  <c:v>Avg. UPT</c:v>
                </c:pt>
                <c:pt idx="1">
                  <c:v>5% UPT</c:v>
                </c:pt>
              </c:strCache>
            </c:strRef>
          </c:cat>
          <c:val>
            <c:numRef>
              <c:f>Sheet1!$C$2:$C$3</c:f>
              <c:numCache>
                <c:formatCode>General</c:formatCode>
                <c:ptCount val="2"/>
                <c:pt idx="0">
                  <c:v>1.4888255915863278</c:v>
                </c:pt>
                <c:pt idx="1">
                  <c:v>2.0346385542168677</c:v>
                </c:pt>
              </c:numCache>
            </c:numRef>
          </c:val>
        </c:ser>
        <c:ser>
          <c:idx val="2"/>
          <c:order val="2"/>
          <c:tx>
            <c:strRef>
              <c:f>Sheet1!$D$1</c:f>
              <c:strCache>
                <c:ptCount val="1"/>
                <c:pt idx="0">
                  <c:v>WB amp., Basis 1</c:v>
                </c:pt>
              </c:strCache>
            </c:strRef>
          </c:tx>
          <c:spPr>
            <a:solidFill>
              <a:schemeClr val="accent3"/>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Sheet1!$A$2:$A$3</c:f>
              <c:strCache>
                <c:ptCount val="2"/>
                <c:pt idx="0">
                  <c:v>Avg. UPT</c:v>
                </c:pt>
                <c:pt idx="1">
                  <c:v>5% UPT</c:v>
                </c:pt>
              </c:strCache>
            </c:strRef>
          </c:cat>
          <c:val>
            <c:numRef>
              <c:f>Sheet1!$D$2:$D$3</c:f>
              <c:numCache>
                <c:formatCode>General</c:formatCode>
                <c:ptCount val="2"/>
                <c:pt idx="0">
                  <c:v>1.4780893952673095</c:v>
                </c:pt>
                <c:pt idx="1">
                  <c:v>2.0262478485370052</c:v>
                </c:pt>
              </c:numCache>
            </c:numRef>
          </c:val>
        </c:ser>
        <c:ser>
          <c:idx val="3"/>
          <c:order val="3"/>
          <c:tx>
            <c:strRef>
              <c:f>Sheet1!$E$1</c:f>
              <c:strCache>
                <c:ptCount val="1"/>
                <c:pt idx="0">
                  <c:v>WB amp., Basis 2</c:v>
                </c:pt>
              </c:strCache>
            </c:strRef>
          </c:tx>
          <c:spPr>
            <a:solidFill>
              <a:schemeClr val="accent4"/>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Sheet1!$A$2:$A$3</c:f>
              <c:strCache>
                <c:ptCount val="2"/>
                <c:pt idx="0">
                  <c:v>Avg. UPT</c:v>
                </c:pt>
                <c:pt idx="1">
                  <c:v>5% UPT</c:v>
                </c:pt>
              </c:strCache>
            </c:strRef>
          </c:cat>
          <c:val>
            <c:numRef>
              <c:f>Sheet1!$E$2:$E$3</c:f>
              <c:numCache>
                <c:formatCode>General</c:formatCode>
                <c:ptCount val="2"/>
                <c:pt idx="0">
                  <c:v>1.3308501314636283</c:v>
                </c:pt>
                <c:pt idx="1">
                  <c:v>1.5770223752151464</c:v>
                </c:pt>
              </c:numCache>
            </c:numRef>
          </c:val>
        </c:ser>
        <c:ser>
          <c:idx val="4"/>
          <c:order val="4"/>
          <c:tx>
            <c:strRef>
              <c:f>Sheet1!$F$1</c:f>
              <c:strCache>
                <c:ptCount val="1"/>
                <c:pt idx="0">
                  <c:v>SB amp., Basis 0</c:v>
                </c:pt>
              </c:strCache>
            </c:strRef>
          </c:tx>
          <c:spPr>
            <a:solidFill>
              <a:schemeClr val="accent5"/>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Sheet1!$A$2:$A$3</c:f>
              <c:strCache>
                <c:ptCount val="2"/>
                <c:pt idx="0">
                  <c:v>Avg. UPT</c:v>
                </c:pt>
                <c:pt idx="1">
                  <c:v>5% UPT</c:v>
                </c:pt>
              </c:strCache>
            </c:strRef>
          </c:cat>
          <c:val>
            <c:numRef>
              <c:f>Sheet1!$F$2:$F$3</c:f>
              <c:numCache>
                <c:formatCode>General</c:formatCode>
                <c:ptCount val="2"/>
                <c:pt idx="0">
                  <c:v>1.5913124452234881</c:v>
                </c:pt>
                <c:pt idx="1">
                  <c:v>2.3450946643717732</c:v>
                </c:pt>
              </c:numCache>
            </c:numRef>
          </c:val>
        </c:ser>
        <c:ser>
          <c:idx val="5"/>
          <c:order val="5"/>
          <c:tx>
            <c:strRef>
              <c:f>Sheet1!$G$1</c:f>
              <c:strCache>
                <c:ptCount val="1"/>
                <c:pt idx="0">
                  <c:v>SB amp., Basis 1</c:v>
                </c:pt>
              </c:strCache>
            </c:strRef>
          </c:tx>
          <c:spPr>
            <a:solidFill>
              <a:schemeClr val="accent6"/>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Sheet1!$A$2:$A$3</c:f>
              <c:strCache>
                <c:ptCount val="2"/>
                <c:pt idx="0">
                  <c:v>Avg. UPT</c:v>
                </c:pt>
                <c:pt idx="1">
                  <c:v>5% UPT</c:v>
                </c:pt>
              </c:strCache>
            </c:strRef>
          </c:cat>
          <c:val>
            <c:numRef>
              <c:f>Sheet1!$G$2:$G$3</c:f>
              <c:numCache>
                <c:formatCode>General</c:formatCode>
                <c:ptCount val="2"/>
                <c:pt idx="0">
                  <c:v>1.5976665205959686</c:v>
                </c:pt>
                <c:pt idx="1">
                  <c:v>2.2506454388984514</c:v>
                </c:pt>
              </c:numCache>
            </c:numRef>
          </c:val>
        </c:ser>
        <c:ser>
          <c:idx val="6"/>
          <c:order val="6"/>
          <c:tx>
            <c:strRef>
              <c:f>Sheet1!$H$1</c:f>
              <c:strCache>
                <c:ptCount val="1"/>
                <c:pt idx="0">
                  <c:v>SB amp., Basis 2</c:v>
                </c:pt>
              </c:strCache>
            </c:strRef>
          </c:tx>
          <c:spPr>
            <a:solidFill>
              <a:schemeClr val="accent1">
                <a:lumMod val="60000"/>
              </a:schemeClr>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Sheet1!$A$2:$A$3</c:f>
              <c:strCache>
                <c:ptCount val="2"/>
                <c:pt idx="0">
                  <c:v>Avg. UPT</c:v>
                </c:pt>
                <c:pt idx="1">
                  <c:v>5% UPT</c:v>
                </c:pt>
              </c:strCache>
            </c:strRef>
          </c:cat>
          <c:val>
            <c:numRef>
              <c:f>Sheet1!$H$2:$H$3</c:f>
              <c:numCache>
                <c:formatCode>General</c:formatCode>
                <c:ptCount val="2"/>
                <c:pt idx="0">
                  <c:v>1.4320771253286591</c:v>
                </c:pt>
                <c:pt idx="1">
                  <c:v>1.7775387263339073</c:v>
                </c:pt>
              </c:numCache>
            </c:numRef>
          </c:val>
        </c:ser>
        <c:ser>
          <c:idx val="7"/>
          <c:order val="7"/>
          <c:tx>
            <c:strRef>
              <c:f>Sheet1!$I$1</c:f>
              <c:strCache>
                <c:ptCount val="1"/>
                <c:pt idx="0">
                  <c:v>Ideal</c:v>
                </c:pt>
              </c:strCache>
            </c:strRef>
          </c:tx>
          <c:spPr>
            <a:solidFill>
              <a:schemeClr val="accent2">
                <a:lumMod val="60000"/>
              </a:schemeClr>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Sheet1!$A$2:$A$3</c:f>
              <c:strCache>
                <c:ptCount val="2"/>
                <c:pt idx="0">
                  <c:v>Avg. UPT</c:v>
                </c:pt>
                <c:pt idx="1">
                  <c:v>5% UPT</c:v>
                </c:pt>
              </c:strCache>
            </c:strRef>
          </c:cat>
          <c:val>
            <c:numRef>
              <c:f>Sheet1!$I$2:$I$3</c:f>
              <c:numCache>
                <c:formatCode>General</c:formatCode>
                <c:ptCount val="2"/>
                <c:pt idx="0">
                  <c:v>1.7682953549517963</c:v>
                </c:pt>
                <c:pt idx="1">
                  <c:v>2.6230636833046472</c:v>
                </c:pt>
              </c:numCache>
            </c:numRef>
          </c:val>
        </c:ser>
        <c:dLbls>
          <c:dLblPos val="outEnd"/>
          <c:showLegendKey val="0"/>
          <c:showVal val="1"/>
          <c:showCatName val="0"/>
          <c:showSerName val="0"/>
          <c:showPercent val="0"/>
          <c:showBubbleSize val="0"/>
        </c:dLbls>
        <c:gapWidth val="444"/>
        <c:overlap val="-90"/>
        <c:axId val="870558856"/>
        <c:axId val="870557288"/>
      </c:barChart>
      <c:catAx>
        <c:axId val="870558856"/>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cap="all" spc="120" normalizeH="0" baseline="0">
                <a:solidFill>
                  <a:schemeClr val="tx1">
                    <a:lumMod val="65000"/>
                    <a:lumOff val="35000"/>
                  </a:schemeClr>
                </a:solidFill>
                <a:latin typeface="+mn-lt"/>
                <a:ea typeface="+mn-ea"/>
                <a:cs typeface="+mn-cs"/>
              </a:defRPr>
            </a:pPr>
            <a:endParaRPr lang="en-US"/>
          </a:p>
        </c:txPr>
        <c:crossAx val="870557288"/>
        <c:crosses val="autoZero"/>
        <c:auto val="1"/>
        <c:lblAlgn val="ctr"/>
        <c:lblOffset val="100"/>
        <c:noMultiLvlLbl val="0"/>
      </c:catAx>
      <c:valAx>
        <c:axId val="870557288"/>
        <c:scaling>
          <c:orientation val="minMax"/>
          <c:max val="2.7"/>
          <c:min val="0.9"/>
        </c:scaling>
        <c:delete val="1"/>
        <c:axPos val="l"/>
        <c:numFmt formatCode="0%" sourceLinked="0"/>
        <c:majorTickMark val="none"/>
        <c:minorTickMark val="none"/>
        <c:tickLblPos val="nextTo"/>
        <c:crossAx val="870558856"/>
        <c:crosses val="autoZero"/>
        <c:crossBetween val="between"/>
      </c:valAx>
      <c:spPr>
        <a:noFill/>
        <a:ln>
          <a:noFill/>
        </a:ln>
        <a:effectLst/>
      </c:spPr>
    </c:plotArea>
    <c:legend>
      <c:legendPos val="t"/>
      <c:layout>
        <c:manualLayout>
          <c:xMode val="edge"/>
          <c:yMode val="edge"/>
          <c:x val="9.5086395450568684E-2"/>
          <c:y val="2.3809523809523808E-2"/>
          <c:w val="0.80288276465441832"/>
          <c:h val="0.1252668416447944"/>
        </c:manualLayout>
      </c:layout>
      <c:overlay val="0"/>
      <c:spPr>
        <a:noFill/>
        <a:ln>
          <a:noFill/>
        </a:ln>
        <a:effectLst/>
      </c:spPr>
      <c:txPr>
        <a:bodyPr rot="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en-US"/>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n-US" sz="1000" b="1" i="1" baseline="0">
                <a:solidFill>
                  <a:srgbClr val="FF0000"/>
                </a:solidFill>
                <a:effectLst/>
              </a:rPr>
              <a:t>L</a:t>
            </a:r>
            <a:r>
              <a:rPr lang="en-US" sz="1000" b="1" i="0" baseline="0">
                <a:solidFill>
                  <a:srgbClr val="FF0000"/>
                </a:solidFill>
                <a:effectLst/>
              </a:rPr>
              <a:t> = 4 beams, quantized amp. and phase</a:t>
            </a:r>
            <a:endParaRPr lang="en-US" sz="1000">
              <a:solidFill>
                <a:srgbClr val="FF0000"/>
              </a:solidFill>
              <a:effectLst/>
            </a:endParaRPr>
          </a:p>
        </c:rich>
      </c:tx>
      <c:layout>
        <c:manualLayout>
          <c:xMode val="edge"/>
          <c:yMode val="edge"/>
          <c:x val="3.2112131816856258E-2"/>
          <c:y val="0.19047619047619047"/>
        </c:manualLayout>
      </c:layout>
      <c:overlay val="1"/>
    </c:title>
    <c:autoTitleDeleted val="0"/>
    <c:plotArea>
      <c:layout/>
      <c:barChart>
        <c:barDir val="col"/>
        <c:grouping val="clustered"/>
        <c:varyColors val="0"/>
        <c:ser>
          <c:idx val="0"/>
          <c:order val="0"/>
          <c:tx>
            <c:strRef>
              <c:f>Sheet1!$B$1</c:f>
              <c:strCache>
                <c:ptCount val="1"/>
                <c:pt idx="0">
                  <c:v>R14 Adv. CSI CB</c:v>
                </c:pt>
              </c:strCache>
            </c:strRef>
          </c:tx>
          <c:spPr>
            <a:solidFill>
              <a:schemeClr val="accent1"/>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Sheet1!$A$2:$A$3</c:f>
              <c:strCache>
                <c:ptCount val="2"/>
                <c:pt idx="0">
                  <c:v>Avg. UPT</c:v>
                </c:pt>
                <c:pt idx="1">
                  <c:v>5% UPT</c:v>
                </c:pt>
              </c:strCache>
            </c:strRef>
          </c:cat>
          <c:val>
            <c:numRef>
              <c:f>Sheet1!$B$2:$B$3</c:f>
              <c:numCache>
                <c:formatCode>General</c:formatCode>
                <c:ptCount val="2"/>
                <c:pt idx="0">
                  <c:v>1</c:v>
                </c:pt>
                <c:pt idx="1">
                  <c:v>1</c:v>
                </c:pt>
              </c:numCache>
            </c:numRef>
          </c:val>
        </c:ser>
        <c:ser>
          <c:idx val="1"/>
          <c:order val="1"/>
          <c:tx>
            <c:strRef>
              <c:f>Sheet1!$C$1</c:f>
              <c:strCache>
                <c:ptCount val="1"/>
                <c:pt idx="0">
                  <c:v>WB amp., Basis 0</c:v>
                </c:pt>
              </c:strCache>
            </c:strRef>
          </c:tx>
          <c:spPr>
            <a:solidFill>
              <a:schemeClr val="accent2"/>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Sheet1!$A$2:$A$3</c:f>
              <c:strCache>
                <c:ptCount val="2"/>
                <c:pt idx="0">
                  <c:v>Avg. UPT</c:v>
                </c:pt>
                <c:pt idx="1">
                  <c:v>5% UPT</c:v>
                </c:pt>
              </c:strCache>
            </c:strRef>
          </c:cat>
          <c:val>
            <c:numRef>
              <c:f>Sheet1!$C$2:$C$3</c:f>
              <c:numCache>
                <c:formatCode>General</c:formatCode>
                <c:ptCount val="2"/>
                <c:pt idx="0">
                  <c:v>1.4517418930762489</c:v>
                </c:pt>
                <c:pt idx="1">
                  <c:v>1.9186746987951806</c:v>
                </c:pt>
              </c:numCache>
            </c:numRef>
          </c:val>
        </c:ser>
        <c:ser>
          <c:idx val="2"/>
          <c:order val="2"/>
          <c:tx>
            <c:strRef>
              <c:f>Sheet1!$D$1</c:f>
              <c:strCache>
                <c:ptCount val="1"/>
                <c:pt idx="0">
                  <c:v>WB amp., Basis 1</c:v>
                </c:pt>
              </c:strCache>
            </c:strRef>
          </c:tx>
          <c:spPr>
            <a:solidFill>
              <a:schemeClr val="accent3"/>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Sheet1!$A$2:$A$3</c:f>
              <c:strCache>
                <c:ptCount val="2"/>
                <c:pt idx="0">
                  <c:v>Avg. UPT</c:v>
                </c:pt>
                <c:pt idx="1">
                  <c:v>5% UPT</c:v>
                </c:pt>
              </c:strCache>
            </c:strRef>
          </c:cat>
          <c:val>
            <c:numRef>
              <c:f>Sheet1!$D$2:$D$3</c:f>
              <c:numCache>
                <c:formatCode>General</c:formatCode>
                <c:ptCount val="2"/>
                <c:pt idx="0">
                  <c:v>1.4418821209465382</c:v>
                </c:pt>
                <c:pt idx="1">
                  <c:v>1.9003872633390708</c:v>
                </c:pt>
              </c:numCache>
            </c:numRef>
          </c:val>
        </c:ser>
        <c:ser>
          <c:idx val="3"/>
          <c:order val="3"/>
          <c:tx>
            <c:strRef>
              <c:f>Sheet1!$E$1</c:f>
              <c:strCache>
                <c:ptCount val="1"/>
                <c:pt idx="0">
                  <c:v>WB amp., Basis 2</c:v>
                </c:pt>
              </c:strCache>
            </c:strRef>
          </c:tx>
          <c:spPr>
            <a:solidFill>
              <a:schemeClr val="accent4"/>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Sheet1!$A$2:$A$3</c:f>
              <c:strCache>
                <c:ptCount val="2"/>
                <c:pt idx="0">
                  <c:v>Avg. UPT</c:v>
                </c:pt>
                <c:pt idx="1">
                  <c:v>5% UPT</c:v>
                </c:pt>
              </c:strCache>
            </c:strRef>
          </c:cat>
          <c:val>
            <c:numRef>
              <c:f>Sheet1!$E$2:$E$3</c:f>
              <c:numCache>
                <c:formatCode>General</c:formatCode>
                <c:ptCount val="2"/>
                <c:pt idx="0">
                  <c:v>1.2788124452234881</c:v>
                </c:pt>
                <c:pt idx="1">
                  <c:v>1.4249139414802068</c:v>
                </c:pt>
              </c:numCache>
            </c:numRef>
          </c:val>
        </c:ser>
        <c:ser>
          <c:idx val="4"/>
          <c:order val="4"/>
          <c:tx>
            <c:strRef>
              <c:f>Sheet1!$F$1</c:f>
              <c:strCache>
                <c:ptCount val="1"/>
                <c:pt idx="0">
                  <c:v>SB amp., Basis 0</c:v>
                </c:pt>
              </c:strCache>
            </c:strRef>
          </c:tx>
          <c:spPr>
            <a:solidFill>
              <a:schemeClr val="accent5"/>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Sheet1!$A$2:$A$3</c:f>
              <c:strCache>
                <c:ptCount val="2"/>
                <c:pt idx="0">
                  <c:v>Avg. UPT</c:v>
                </c:pt>
                <c:pt idx="1">
                  <c:v>5% UPT</c:v>
                </c:pt>
              </c:strCache>
            </c:strRef>
          </c:cat>
          <c:val>
            <c:numRef>
              <c:f>Sheet1!$F$2:$F$3</c:f>
              <c:numCache>
                <c:formatCode>General</c:formatCode>
                <c:ptCount val="2"/>
                <c:pt idx="0">
                  <c:v>1.525635407537248</c:v>
                </c:pt>
                <c:pt idx="1">
                  <c:v>2.168674698795181</c:v>
                </c:pt>
              </c:numCache>
            </c:numRef>
          </c:val>
        </c:ser>
        <c:ser>
          <c:idx val="5"/>
          <c:order val="5"/>
          <c:tx>
            <c:strRef>
              <c:f>Sheet1!$G$1</c:f>
              <c:strCache>
                <c:ptCount val="1"/>
                <c:pt idx="0">
                  <c:v>SB amp., Basis 1</c:v>
                </c:pt>
              </c:strCache>
            </c:strRef>
          </c:tx>
          <c:spPr>
            <a:solidFill>
              <a:schemeClr val="accent6"/>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Sheet1!$A$2:$A$3</c:f>
              <c:strCache>
                <c:ptCount val="2"/>
                <c:pt idx="0">
                  <c:v>Avg. UPT</c:v>
                </c:pt>
                <c:pt idx="1">
                  <c:v>5% UPT</c:v>
                </c:pt>
              </c:strCache>
            </c:strRef>
          </c:cat>
          <c:val>
            <c:numRef>
              <c:f>Sheet1!$G$2:$G$3</c:f>
              <c:numCache>
                <c:formatCode>General</c:formatCode>
                <c:ptCount val="2"/>
                <c:pt idx="0">
                  <c:v>1.5239921121822961</c:v>
                </c:pt>
                <c:pt idx="1">
                  <c:v>2.1417814113597249</c:v>
                </c:pt>
              </c:numCache>
            </c:numRef>
          </c:val>
        </c:ser>
        <c:ser>
          <c:idx val="6"/>
          <c:order val="6"/>
          <c:tx>
            <c:strRef>
              <c:f>Sheet1!$H$1</c:f>
              <c:strCache>
                <c:ptCount val="1"/>
                <c:pt idx="0">
                  <c:v>SB amp., Basis 2</c:v>
                </c:pt>
              </c:strCache>
            </c:strRef>
          </c:tx>
          <c:spPr>
            <a:solidFill>
              <a:schemeClr val="accent1">
                <a:lumMod val="60000"/>
              </a:schemeClr>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Sheet1!$A$2:$A$3</c:f>
              <c:strCache>
                <c:ptCount val="2"/>
                <c:pt idx="0">
                  <c:v>Avg. UPT</c:v>
                </c:pt>
                <c:pt idx="1">
                  <c:v>5% UPT</c:v>
                </c:pt>
              </c:strCache>
            </c:strRef>
          </c:cat>
          <c:val>
            <c:numRef>
              <c:f>Sheet1!$H$2:$H$3</c:f>
              <c:numCache>
                <c:formatCode>General</c:formatCode>
                <c:ptCount val="2"/>
                <c:pt idx="0">
                  <c:v>1.3603198948290973</c:v>
                </c:pt>
                <c:pt idx="1">
                  <c:v>1.6792168674698795</c:v>
                </c:pt>
              </c:numCache>
            </c:numRef>
          </c:val>
        </c:ser>
        <c:ser>
          <c:idx val="7"/>
          <c:order val="7"/>
          <c:tx>
            <c:strRef>
              <c:f>Sheet1!$I$1</c:f>
              <c:strCache>
                <c:ptCount val="1"/>
                <c:pt idx="0">
                  <c:v>Ideal</c:v>
                </c:pt>
              </c:strCache>
            </c:strRef>
          </c:tx>
          <c:spPr>
            <a:solidFill>
              <a:schemeClr val="accent2">
                <a:lumMod val="60000"/>
              </a:schemeClr>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Sheet1!$A$2:$A$3</c:f>
              <c:strCache>
                <c:ptCount val="2"/>
                <c:pt idx="0">
                  <c:v>Avg. UPT</c:v>
                </c:pt>
                <c:pt idx="1">
                  <c:v>5% UPT</c:v>
                </c:pt>
              </c:strCache>
            </c:strRef>
          </c:cat>
          <c:val>
            <c:numRef>
              <c:f>Sheet1!$I$2:$I$3</c:f>
              <c:numCache>
                <c:formatCode>General</c:formatCode>
                <c:ptCount val="2"/>
                <c:pt idx="0">
                  <c:v>1.7682953549517963</c:v>
                </c:pt>
                <c:pt idx="1">
                  <c:v>2.6230636833046472</c:v>
                </c:pt>
              </c:numCache>
            </c:numRef>
          </c:val>
        </c:ser>
        <c:dLbls>
          <c:dLblPos val="outEnd"/>
          <c:showLegendKey val="0"/>
          <c:showVal val="1"/>
          <c:showCatName val="0"/>
          <c:showSerName val="0"/>
          <c:showPercent val="0"/>
          <c:showBubbleSize val="0"/>
        </c:dLbls>
        <c:gapWidth val="444"/>
        <c:overlap val="-90"/>
        <c:axId val="870556112"/>
        <c:axId val="870556896"/>
      </c:barChart>
      <c:catAx>
        <c:axId val="870556112"/>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cap="all" spc="120" normalizeH="0" baseline="0">
                <a:solidFill>
                  <a:schemeClr val="tx1">
                    <a:lumMod val="65000"/>
                    <a:lumOff val="35000"/>
                  </a:schemeClr>
                </a:solidFill>
                <a:latin typeface="+mn-lt"/>
                <a:ea typeface="+mn-ea"/>
                <a:cs typeface="+mn-cs"/>
              </a:defRPr>
            </a:pPr>
            <a:endParaRPr lang="en-US"/>
          </a:p>
        </c:txPr>
        <c:crossAx val="870556896"/>
        <c:crosses val="autoZero"/>
        <c:auto val="1"/>
        <c:lblAlgn val="ctr"/>
        <c:lblOffset val="100"/>
        <c:noMultiLvlLbl val="0"/>
      </c:catAx>
      <c:valAx>
        <c:axId val="870556896"/>
        <c:scaling>
          <c:orientation val="minMax"/>
          <c:max val="2.7"/>
          <c:min val="0.9"/>
        </c:scaling>
        <c:delete val="1"/>
        <c:axPos val="l"/>
        <c:numFmt formatCode="0%" sourceLinked="0"/>
        <c:majorTickMark val="none"/>
        <c:minorTickMark val="none"/>
        <c:tickLblPos val="nextTo"/>
        <c:crossAx val="870556112"/>
        <c:crosses val="autoZero"/>
        <c:crossBetween val="between"/>
      </c:valAx>
      <c:spPr>
        <a:noFill/>
        <a:ln>
          <a:noFill/>
        </a:ln>
        <a:effectLst/>
      </c:spPr>
    </c:plotArea>
    <c:legend>
      <c:legendPos val="t"/>
      <c:layout>
        <c:manualLayout>
          <c:xMode val="edge"/>
          <c:yMode val="edge"/>
          <c:x val="9.5086395450568684E-2"/>
          <c:y val="2.3809523809523808E-2"/>
          <c:w val="0.80288276465441832"/>
          <c:h val="0.1252668416447944"/>
        </c:manualLayout>
      </c:layout>
      <c:overlay val="0"/>
      <c:spPr>
        <a:noFill/>
        <a:ln>
          <a:noFill/>
        </a:ln>
        <a:effectLst/>
      </c:spPr>
      <c:txPr>
        <a:bodyPr rot="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en-US"/>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600" b="1" i="0" u="none" strike="noStrike" kern="1200" cap="all" spc="120" normalizeH="0" baseline="0">
                <a:solidFill>
                  <a:schemeClr val="tx1">
                    <a:lumMod val="65000"/>
                    <a:lumOff val="35000"/>
                  </a:schemeClr>
                </a:solidFill>
                <a:latin typeface="+mn-lt"/>
                <a:ea typeface="+mn-ea"/>
                <a:cs typeface="+mn-cs"/>
              </a:defRPr>
            </a:pPr>
            <a:r>
              <a:rPr lang="en-US" sz="1000" b="1" i="1" cap="none" baseline="0">
                <a:solidFill>
                  <a:srgbClr val="FF0000"/>
                </a:solidFill>
                <a:effectLst/>
              </a:rPr>
              <a:t>L</a:t>
            </a:r>
            <a:r>
              <a:rPr lang="en-US" sz="1000" b="1" i="0" cap="none" baseline="0">
                <a:solidFill>
                  <a:srgbClr val="FF0000"/>
                </a:solidFill>
                <a:effectLst/>
              </a:rPr>
              <a:t> = 4 beams, unquantized WB amp. and SB phase</a:t>
            </a:r>
            <a:endParaRPr lang="en-US" sz="1000" cap="none" baseline="0">
              <a:solidFill>
                <a:srgbClr val="FF0000"/>
              </a:solidFill>
              <a:effectLst/>
            </a:endParaRPr>
          </a:p>
        </c:rich>
      </c:tx>
      <c:layout>
        <c:manualLayout>
          <c:xMode val="edge"/>
          <c:yMode val="edge"/>
          <c:x val="3.2183945643205425E-2"/>
          <c:y val="0.27380952380952384"/>
        </c:manualLayout>
      </c:layout>
      <c:overlay val="1"/>
      <c:spPr>
        <a:noFill/>
        <a:ln>
          <a:noFill/>
        </a:ln>
        <a:effectLst/>
      </c:spPr>
      <c:txPr>
        <a:bodyPr rot="0" spcFirstLastPara="1" vertOverflow="ellipsis" vert="horz" wrap="square" anchor="ctr" anchorCtr="1"/>
        <a:lstStyle/>
        <a:p>
          <a:pPr>
            <a:defRPr sz="1600" b="1" i="0" u="none" strike="noStrike" kern="1200" cap="all" spc="120" normalizeH="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Sheet1!$B$1</c:f>
              <c:strCache>
                <c:ptCount val="1"/>
                <c:pt idx="0">
                  <c:v>R14 Adv. CSI CB</c:v>
                </c:pt>
              </c:strCache>
            </c:strRef>
          </c:tx>
          <c:spPr>
            <a:solidFill>
              <a:schemeClr val="accent1"/>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Sheet1!$A$2:$A$3</c:f>
              <c:strCache>
                <c:ptCount val="2"/>
                <c:pt idx="0">
                  <c:v>Avg. UPT</c:v>
                </c:pt>
                <c:pt idx="1">
                  <c:v>5% UPT</c:v>
                </c:pt>
              </c:strCache>
            </c:strRef>
          </c:cat>
          <c:val>
            <c:numRef>
              <c:f>Sheet1!$B$2:$B$3</c:f>
              <c:numCache>
                <c:formatCode>General</c:formatCode>
                <c:ptCount val="2"/>
                <c:pt idx="0">
                  <c:v>1</c:v>
                </c:pt>
                <c:pt idx="1">
                  <c:v>1</c:v>
                </c:pt>
              </c:numCache>
            </c:numRef>
          </c:val>
        </c:ser>
        <c:ser>
          <c:idx val="1"/>
          <c:order val="1"/>
          <c:tx>
            <c:strRef>
              <c:f>Sheet1!$C$1</c:f>
              <c:strCache>
                <c:ptCount val="1"/>
                <c:pt idx="0">
                  <c:v>Amp. Type 0</c:v>
                </c:pt>
              </c:strCache>
            </c:strRef>
          </c:tx>
          <c:spPr>
            <a:solidFill>
              <a:schemeClr val="accent2"/>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Sheet1!$A$2:$A$3</c:f>
              <c:strCache>
                <c:ptCount val="2"/>
                <c:pt idx="0">
                  <c:v>Avg. UPT</c:v>
                </c:pt>
                <c:pt idx="1">
                  <c:v>5% UPT</c:v>
                </c:pt>
              </c:strCache>
            </c:strRef>
          </c:cat>
          <c:val>
            <c:numRef>
              <c:f>Sheet1!$C$2:$C$3</c:f>
              <c:numCache>
                <c:formatCode>0.0%</c:formatCode>
                <c:ptCount val="2"/>
                <c:pt idx="0">
                  <c:v>1.3432697326451315</c:v>
                </c:pt>
                <c:pt idx="1">
                  <c:v>1.6627274875915861</c:v>
                </c:pt>
              </c:numCache>
            </c:numRef>
          </c:val>
        </c:ser>
        <c:ser>
          <c:idx val="2"/>
          <c:order val="2"/>
          <c:tx>
            <c:strRef>
              <c:f>Sheet1!$D$1</c:f>
              <c:strCache>
                <c:ptCount val="1"/>
                <c:pt idx="0">
                  <c:v>Amp. Type 1</c:v>
                </c:pt>
              </c:strCache>
            </c:strRef>
          </c:tx>
          <c:spPr>
            <a:solidFill>
              <a:schemeClr val="accent3"/>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Sheet1!$A$2:$A$3</c:f>
              <c:strCache>
                <c:ptCount val="2"/>
                <c:pt idx="0">
                  <c:v>Avg. UPT</c:v>
                </c:pt>
                <c:pt idx="1">
                  <c:v>5% UPT</c:v>
                </c:pt>
              </c:strCache>
            </c:strRef>
          </c:cat>
          <c:val>
            <c:numRef>
              <c:f>Sheet1!$D$2:$D$3</c:f>
              <c:numCache>
                <c:formatCode>0.0%</c:formatCode>
                <c:ptCount val="2"/>
                <c:pt idx="0">
                  <c:v>1.3679174157629184</c:v>
                </c:pt>
                <c:pt idx="1">
                  <c:v>1.6379106594185771</c:v>
                </c:pt>
              </c:numCache>
            </c:numRef>
          </c:val>
        </c:ser>
        <c:ser>
          <c:idx val="3"/>
          <c:order val="3"/>
          <c:tx>
            <c:strRef>
              <c:f>Sheet1!$E$1</c:f>
              <c:strCache>
                <c:ptCount val="1"/>
                <c:pt idx="0">
                  <c:v>Amp. Type 2</c:v>
                </c:pt>
              </c:strCache>
            </c:strRef>
          </c:tx>
          <c:spPr>
            <a:solidFill>
              <a:schemeClr val="accent4"/>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Sheet1!$A$2:$A$3</c:f>
              <c:strCache>
                <c:ptCount val="2"/>
                <c:pt idx="0">
                  <c:v>Avg. UPT</c:v>
                </c:pt>
                <c:pt idx="1">
                  <c:v>5% UPT</c:v>
                </c:pt>
              </c:strCache>
            </c:strRef>
          </c:cat>
          <c:val>
            <c:numRef>
              <c:f>Sheet1!$E$2:$E$3</c:f>
              <c:numCache>
                <c:formatCode>0.0%</c:formatCode>
                <c:ptCount val="2"/>
                <c:pt idx="0">
                  <c:v>1.3763266252972222</c:v>
                </c:pt>
                <c:pt idx="1">
                  <c:v>1.7761758449539116</c:v>
                </c:pt>
              </c:numCache>
            </c:numRef>
          </c:val>
        </c:ser>
        <c:ser>
          <c:idx val="4"/>
          <c:order val="4"/>
          <c:tx>
            <c:strRef>
              <c:f>Sheet1!$F$1</c:f>
              <c:strCache>
                <c:ptCount val="1"/>
                <c:pt idx="0">
                  <c:v>Amp. Type 3</c:v>
                </c:pt>
              </c:strCache>
            </c:strRef>
          </c:tx>
          <c:spPr>
            <a:solidFill>
              <a:schemeClr val="accent5"/>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Sheet1!$A$2:$A$3</c:f>
              <c:strCache>
                <c:ptCount val="2"/>
                <c:pt idx="0">
                  <c:v>Avg. UPT</c:v>
                </c:pt>
                <c:pt idx="1">
                  <c:v>5% UPT</c:v>
                </c:pt>
              </c:strCache>
            </c:strRef>
          </c:cat>
          <c:val>
            <c:numRef>
              <c:f>Sheet1!$F$2:$F$3</c:f>
              <c:numCache>
                <c:formatCode>0.0%</c:formatCode>
                <c:ptCount val="2"/>
                <c:pt idx="0">
                  <c:v>1.4756132923505192</c:v>
                </c:pt>
                <c:pt idx="1">
                  <c:v>2.0512881115575516</c:v>
                </c:pt>
              </c:numCache>
            </c:numRef>
          </c:val>
        </c:ser>
        <c:ser>
          <c:idx val="5"/>
          <c:order val="5"/>
          <c:tx>
            <c:strRef>
              <c:f>Sheet1!$G$1</c:f>
              <c:strCache>
                <c:ptCount val="1"/>
                <c:pt idx="0">
                  <c:v>Ideal</c:v>
                </c:pt>
              </c:strCache>
            </c:strRef>
          </c:tx>
          <c:spPr>
            <a:solidFill>
              <a:schemeClr val="accent6"/>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Sheet1!$A$2:$A$3</c:f>
              <c:strCache>
                <c:ptCount val="2"/>
                <c:pt idx="0">
                  <c:v>Avg. UPT</c:v>
                </c:pt>
                <c:pt idx="1">
                  <c:v>5% UPT</c:v>
                </c:pt>
              </c:strCache>
            </c:strRef>
          </c:cat>
          <c:val>
            <c:numRef>
              <c:f>Sheet1!$G$2:$G$3</c:f>
              <c:numCache>
                <c:formatCode>0.00%</c:formatCode>
                <c:ptCount val="2"/>
                <c:pt idx="0">
                  <c:v>1.738</c:v>
                </c:pt>
                <c:pt idx="1">
                  <c:v>2.5259999999999998</c:v>
                </c:pt>
              </c:numCache>
            </c:numRef>
          </c:val>
        </c:ser>
        <c:dLbls>
          <c:dLblPos val="outEnd"/>
          <c:showLegendKey val="0"/>
          <c:showVal val="1"/>
          <c:showCatName val="0"/>
          <c:showSerName val="0"/>
          <c:showPercent val="0"/>
          <c:showBubbleSize val="0"/>
        </c:dLbls>
        <c:gapWidth val="444"/>
        <c:overlap val="-90"/>
        <c:axId val="870556504"/>
        <c:axId val="870551016"/>
      </c:barChart>
      <c:catAx>
        <c:axId val="870556504"/>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cap="all" spc="120" normalizeH="0" baseline="0">
                <a:solidFill>
                  <a:schemeClr val="tx1">
                    <a:lumMod val="65000"/>
                    <a:lumOff val="35000"/>
                  </a:schemeClr>
                </a:solidFill>
                <a:latin typeface="+mn-lt"/>
                <a:ea typeface="+mn-ea"/>
                <a:cs typeface="+mn-cs"/>
              </a:defRPr>
            </a:pPr>
            <a:endParaRPr lang="en-US"/>
          </a:p>
        </c:txPr>
        <c:crossAx val="870551016"/>
        <c:crosses val="autoZero"/>
        <c:auto val="1"/>
        <c:lblAlgn val="ctr"/>
        <c:lblOffset val="100"/>
        <c:noMultiLvlLbl val="0"/>
      </c:catAx>
      <c:valAx>
        <c:axId val="870551016"/>
        <c:scaling>
          <c:orientation val="minMax"/>
          <c:max val="2.7"/>
          <c:min val="0.9"/>
        </c:scaling>
        <c:delete val="1"/>
        <c:axPos val="l"/>
        <c:numFmt formatCode="0%" sourceLinked="0"/>
        <c:majorTickMark val="none"/>
        <c:minorTickMark val="none"/>
        <c:tickLblPos val="nextTo"/>
        <c:crossAx val="870556504"/>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600" b="1" i="0" u="none" strike="noStrike" kern="1200" cap="all" spc="120" normalizeH="0" baseline="0">
                <a:solidFill>
                  <a:schemeClr val="tx1">
                    <a:lumMod val="65000"/>
                    <a:lumOff val="35000"/>
                  </a:schemeClr>
                </a:solidFill>
                <a:latin typeface="+mn-lt"/>
                <a:ea typeface="+mn-ea"/>
                <a:cs typeface="+mn-cs"/>
              </a:defRPr>
            </a:pPr>
            <a:r>
              <a:rPr lang="en-US" sz="1000" b="1" i="1" cap="none" baseline="0">
                <a:solidFill>
                  <a:srgbClr val="FF0000"/>
                </a:solidFill>
                <a:effectLst/>
              </a:rPr>
              <a:t>L</a:t>
            </a:r>
            <a:r>
              <a:rPr lang="en-US" sz="1000" b="1" i="0" cap="none" baseline="0">
                <a:solidFill>
                  <a:srgbClr val="FF0000"/>
                </a:solidFill>
                <a:effectLst/>
              </a:rPr>
              <a:t> = 4 beams, unquantized SB amp. and SB phase</a:t>
            </a:r>
            <a:endParaRPr lang="en-US" sz="1000" cap="none" baseline="0">
              <a:solidFill>
                <a:srgbClr val="FF0000"/>
              </a:solidFill>
              <a:effectLst/>
            </a:endParaRPr>
          </a:p>
        </c:rich>
      </c:tx>
      <c:layout>
        <c:manualLayout>
          <c:xMode val="edge"/>
          <c:yMode val="edge"/>
          <c:x val="3.0106886758586048E-2"/>
          <c:y val="0.27380952380952384"/>
        </c:manualLayout>
      </c:layout>
      <c:overlay val="1"/>
      <c:spPr>
        <a:noFill/>
        <a:ln>
          <a:noFill/>
        </a:ln>
        <a:effectLst/>
      </c:spPr>
      <c:txPr>
        <a:bodyPr rot="0" spcFirstLastPara="1" vertOverflow="ellipsis" vert="horz" wrap="square" anchor="ctr" anchorCtr="1"/>
        <a:lstStyle/>
        <a:p>
          <a:pPr>
            <a:defRPr sz="1600" b="1" i="0" u="none" strike="noStrike" kern="1200" cap="all" spc="120" normalizeH="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Sheet1!$B$1</c:f>
              <c:strCache>
                <c:ptCount val="1"/>
                <c:pt idx="0">
                  <c:v>R14 Adv. CSI CB</c:v>
                </c:pt>
              </c:strCache>
            </c:strRef>
          </c:tx>
          <c:spPr>
            <a:solidFill>
              <a:schemeClr val="accent1"/>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Sheet1!$A$2:$A$3</c:f>
              <c:strCache>
                <c:ptCount val="2"/>
                <c:pt idx="0">
                  <c:v>Avg. UPT</c:v>
                </c:pt>
                <c:pt idx="1">
                  <c:v>5% UPT</c:v>
                </c:pt>
              </c:strCache>
            </c:strRef>
          </c:cat>
          <c:val>
            <c:numRef>
              <c:f>Sheet1!$B$2:$B$3</c:f>
              <c:numCache>
                <c:formatCode>General</c:formatCode>
                <c:ptCount val="2"/>
                <c:pt idx="0">
                  <c:v>1</c:v>
                </c:pt>
                <c:pt idx="1">
                  <c:v>1</c:v>
                </c:pt>
              </c:numCache>
            </c:numRef>
          </c:val>
        </c:ser>
        <c:ser>
          <c:idx val="1"/>
          <c:order val="1"/>
          <c:tx>
            <c:strRef>
              <c:f>Sheet1!$C$1</c:f>
              <c:strCache>
                <c:ptCount val="1"/>
                <c:pt idx="0">
                  <c:v>Amp. Type 0</c:v>
                </c:pt>
              </c:strCache>
            </c:strRef>
          </c:tx>
          <c:spPr>
            <a:solidFill>
              <a:schemeClr val="accent2"/>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Sheet1!$A$2:$A$3</c:f>
              <c:strCache>
                <c:ptCount val="2"/>
                <c:pt idx="0">
                  <c:v>Avg. UPT</c:v>
                </c:pt>
                <c:pt idx="1">
                  <c:v>5% UPT</c:v>
                </c:pt>
              </c:strCache>
            </c:strRef>
          </c:cat>
          <c:val>
            <c:numRef>
              <c:f>Sheet1!$C$2:$C$3</c:f>
              <c:numCache>
                <c:formatCode>0.00%</c:formatCode>
                <c:ptCount val="2"/>
                <c:pt idx="0">
                  <c:v>1.361</c:v>
                </c:pt>
                <c:pt idx="1">
                  <c:v>1.7490000000000001</c:v>
                </c:pt>
              </c:numCache>
            </c:numRef>
          </c:val>
        </c:ser>
        <c:ser>
          <c:idx val="2"/>
          <c:order val="2"/>
          <c:tx>
            <c:strRef>
              <c:f>Sheet1!$D$1</c:f>
              <c:strCache>
                <c:ptCount val="1"/>
                <c:pt idx="0">
                  <c:v>Amp. Type 1</c:v>
                </c:pt>
              </c:strCache>
            </c:strRef>
          </c:tx>
          <c:spPr>
            <a:solidFill>
              <a:schemeClr val="accent3"/>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Sheet1!$A$2:$A$3</c:f>
              <c:strCache>
                <c:ptCount val="2"/>
                <c:pt idx="0">
                  <c:v>Avg. UPT</c:v>
                </c:pt>
                <c:pt idx="1">
                  <c:v>5% UPT</c:v>
                </c:pt>
              </c:strCache>
            </c:strRef>
          </c:cat>
          <c:val>
            <c:numRef>
              <c:f>Sheet1!$D$2:$D$3</c:f>
              <c:numCache>
                <c:formatCode>0.00%</c:formatCode>
                <c:ptCount val="2"/>
                <c:pt idx="0">
                  <c:v>1.4119999999999999</c:v>
                </c:pt>
                <c:pt idx="1">
                  <c:v>1.8460000000000001</c:v>
                </c:pt>
              </c:numCache>
            </c:numRef>
          </c:val>
        </c:ser>
        <c:ser>
          <c:idx val="3"/>
          <c:order val="3"/>
          <c:tx>
            <c:strRef>
              <c:f>Sheet1!$E$1</c:f>
              <c:strCache>
                <c:ptCount val="1"/>
                <c:pt idx="0">
                  <c:v>Amp. Type 2</c:v>
                </c:pt>
              </c:strCache>
            </c:strRef>
          </c:tx>
          <c:spPr>
            <a:solidFill>
              <a:schemeClr val="accent4"/>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Sheet1!$A$2:$A$3</c:f>
              <c:strCache>
                <c:ptCount val="2"/>
                <c:pt idx="0">
                  <c:v>Avg. UPT</c:v>
                </c:pt>
                <c:pt idx="1">
                  <c:v>5% UPT</c:v>
                </c:pt>
              </c:strCache>
            </c:strRef>
          </c:cat>
          <c:val>
            <c:numRef>
              <c:f>Sheet1!$E$2:$E$3</c:f>
              <c:numCache>
                <c:formatCode>0.00%</c:formatCode>
                <c:ptCount val="2"/>
                <c:pt idx="0">
                  <c:v>1.409</c:v>
                </c:pt>
                <c:pt idx="1">
                  <c:v>1.883</c:v>
                </c:pt>
              </c:numCache>
            </c:numRef>
          </c:val>
        </c:ser>
        <c:ser>
          <c:idx val="4"/>
          <c:order val="4"/>
          <c:tx>
            <c:strRef>
              <c:f>Sheet1!$F$1</c:f>
              <c:strCache>
                <c:ptCount val="1"/>
                <c:pt idx="0">
                  <c:v>Amp. Type 3</c:v>
                </c:pt>
              </c:strCache>
            </c:strRef>
          </c:tx>
          <c:spPr>
            <a:solidFill>
              <a:schemeClr val="accent5"/>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Sheet1!$A$2:$A$3</c:f>
              <c:strCache>
                <c:ptCount val="2"/>
                <c:pt idx="0">
                  <c:v>Avg. UPT</c:v>
                </c:pt>
                <c:pt idx="1">
                  <c:v>5% UPT</c:v>
                </c:pt>
              </c:strCache>
            </c:strRef>
          </c:cat>
          <c:val>
            <c:numRef>
              <c:f>Sheet1!$F$2:$F$3</c:f>
              <c:numCache>
                <c:formatCode>0.00%</c:formatCode>
                <c:ptCount val="2"/>
                <c:pt idx="0">
                  <c:v>1.5780000000000001</c:v>
                </c:pt>
                <c:pt idx="1">
                  <c:v>2.2469999999999999</c:v>
                </c:pt>
              </c:numCache>
            </c:numRef>
          </c:val>
        </c:ser>
        <c:ser>
          <c:idx val="5"/>
          <c:order val="5"/>
          <c:tx>
            <c:strRef>
              <c:f>Sheet1!$G$1</c:f>
              <c:strCache>
                <c:ptCount val="1"/>
                <c:pt idx="0">
                  <c:v>Ideal</c:v>
                </c:pt>
              </c:strCache>
            </c:strRef>
          </c:tx>
          <c:spPr>
            <a:solidFill>
              <a:schemeClr val="accent6"/>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Sheet1!$A$2:$A$3</c:f>
              <c:strCache>
                <c:ptCount val="2"/>
                <c:pt idx="0">
                  <c:v>Avg. UPT</c:v>
                </c:pt>
                <c:pt idx="1">
                  <c:v>5% UPT</c:v>
                </c:pt>
              </c:strCache>
            </c:strRef>
          </c:cat>
          <c:val>
            <c:numRef>
              <c:f>Sheet1!$G$2:$G$3</c:f>
              <c:numCache>
                <c:formatCode>0.00%</c:formatCode>
                <c:ptCount val="2"/>
                <c:pt idx="0">
                  <c:v>1.738</c:v>
                </c:pt>
                <c:pt idx="1">
                  <c:v>2.5259999999999998</c:v>
                </c:pt>
              </c:numCache>
            </c:numRef>
          </c:val>
        </c:ser>
        <c:dLbls>
          <c:dLblPos val="outEnd"/>
          <c:showLegendKey val="0"/>
          <c:showVal val="1"/>
          <c:showCatName val="0"/>
          <c:showSerName val="0"/>
          <c:showPercent val="0"/>
          <c:showBubbleSize val="0"/>
        </c:dLbls>
        <c:gapWidth val="444"/>
        <c:overlap val="-90"/>
        <c:axId val="870557680"/>
        <c:axId val="870552584"/>
      </c:barChart>
      <c:catAx>
        <c:axId val="870557680"/>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cap="all" spc="120" normalizeH="0" baseline="0">
                <a:solidFill>
                  <a:schemeClr val="tx1">
                    <a:lumMod val="65000"/>
                    <a:lumOff val="35000"/>
                  </a:schemeClr>
                </a:solidFill>
                <a:latin typeface="+mn-lt"/>
                <a:ea typeface="+mn-ea"/>
                <a:cs typeface="+mn-cs"/>
              </a:defRPr>
            </a:pPr>
            <a:endParaRPr lang="en-US"/>
          </a:p>
        </c:txPr>
        <c:crossAx val="870552584"/>
        <c:crosses val="autoZero"/>
        <c:auto val="1"/>
        <c:lblAlgn val="ctr"/>
        <c:lblOffset val="100"/>
        <c:noMultiLvlLbl val="0"/>
      </c:catAx>
      <c:valAx>
        <c:axId val="870552584"/>
        <c:scaling>
          <c:orientation val="minMax"/>
          <c:max val="2.7"/>
          <c:min val="0.9"/>
        </c:scaling>
        <c:delete val="1"/>
        <c:axPos val="l"/>
        <c:numFmt formatCode="0%" sourceLinked="0"/>
        <c:majorTickMark val="none"/>
        <c:minorTickMark val="none"/>
        <c:tickLblPos val="nextTo"/>
        <c:crossAx val="870557680"/>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600" b="1" i="0" u="none" strike="noStrike" kern="1200" cap="all" spc="120" normalizeH="0" baseline="0">
                <a:solidFill>
                  <a:schemeClr val="tx1">
                    <a:lumMod val="65000"/>
                    <a:lumOff val="35000"/>
                  </a:schemeClr>
                </a:solidFill>
                <a:latin typeface="+mn-lt"/>
                <a:ea typeface="+mn-ea"/>
                <a:cs typeface="+mn-cs"/>
              </a:defRPr>
            </a:pPr>
            <a:r>
              <a:rPr lang="en-US" sz="1000" b="1" i="1" cap="none" baseline="0">
                <a:solidFill>
                  <a:srgbClr val="FF0000"/>
                </a:solidFill>
                <a:effectLst/>
              </a:rPr>
              <a:t>L</a:t>
            </a:r>
            <a:r>
              <a:rPr lang="en-US" sz="1000" b="1" i="0" cap="none" baseline="0">
                <a:solidFill>
                  <a:srgbClr val="FF0000"/>
                </a:solidFill>
                <a:effectLst/>
              </a:rPr>
              <a:t> = 4 beams, quantized WB amp. and SB phase</a:t>
            </a:r>
            <a:endParaRPr lang="en-US" sz="1000" cap="none" baseline="0">
              <a:solidFill>
                <a:srgbClr val="FF0000"/>
              </a:solidFill>
              <a:effectLst/>
            </a:endParaRPr>
          </a:p>
        </c:rich>
      </c:tx>
      <c:layout>
        <c:manualLayout>
          <c:xMode val="edge"/>
          <c:yMode val="edge"/>
          <c:x val="2.802982787396667E-2"/>
          <c:y val="0.26984126984126983"/>
        </c:manualLayout>
      </c:layout>
      <c:overlay val="1"/>
      <c:spPr>
        <a:noFill/>
        <a:ln>
          <a:noFill/>
        </a:ln>
        <a:effectLst/>
      </c:spPr>
      <c:txPr>
        <a:bodyPr rot="0" spcFirstLastPara="1" vertOverflow="ellipsis" vert="horz" wrap="square" anchor="ctr" anchorCtr="1"/>
        <a:lstStyle/>
        <a:p>
          <a:pPr>
            <a:defRPr sz="1600" b="1" i="0" u="none" strike="noStrike" kern="1200" cap="all" spc="120" normalizeH="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Sheet1!$B$1</c:f>
              <c:strCache>
                <c:ptCount val="1"/>
                <c:pt idx="0">
                  <c:v>R14 Adv. CSI CB</c:v>
                </c:pt>
              </c:strCache>
            </c:strRef>
          </c:tx>
          <c:spPr>
            <a:solidFill>
              <a:schemeClr val="accent1"/>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Sheet1!$A$2:$A$3</c:f>
              <c:strCache>
                <c:ptCount val="2"/>
                <c:pt idx="0">
                  <c:v>Avg. UPT</c:v>
                </c:pt>
                <c:pt idx="1">
                  <c:v>5% UPT</c:v>
                </c:pt>
              </c:strCache>
            </c:strRef>
          </c:cat>
          <c:val>
            <c:numRef>
              <c:f>Sheet1!$B$2:$B$3</c:f>
              <c:numCache>
                <c:formatCode>General</c:formatCode>
                <c:ptCount val="2"/>
                <c:pt idx="0">
                  <c:v>1</c:v>
                </c:pt>
                <c:pt idx="1">
                  <c:v>1</c:v>
                </c:pt>
              </c:numCache>
            </c:numRef>
          </c:val>
        </c:ser>
        <c:ser>
          <c:idx val="1"/>
          <c:order val="1"/>
          <c:tx>
            <c:strRef>
              <c:f>Sheet1!$C$1</c:f>
              <c:strCache>
                <c:ptCount val="1"/>
                <c:pt idx="0">
                  <c:v>Amp. Type 0</c:v>
                </c:pt>
              </c:strCache>
            </c:strRef>
          </c:tx>
          <c:spPr>
            <a:solidFill>
              <a:schemeClr val="accent2"/>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Sheet1!$A$2:$A$3</c:f>
              <c:strCache>
                <c:ptCount val="2"/>
                <c:pt idx="0">
                  <c:v>Avg. UPT</c:v>
                </c:pt>
                <c:pt idx="1">
                  <c:v>5% UPT</c:v>
                </c:pt>
              </c:strCache>
            </c:strRef>
          </c:cat>
          <c:val>
            <c:numRef>
              <c:f>Sheet1!$C$2:$C$3</c:f>
              <c:numCache>
                <c:formatCode>General</c:formatCode>
                <c:ptCount val="2"/>
                <c:pt idx="0">
                  <c:v>1.2985559357420402</c:v>
                </c:pt>
                <c:pt idx="1">
                  <c:v>1.537225242259513</c:v>
                </c:pt>
              </c:numCache>
            </c:numRef>
          </c:val>
        </c:ser>
        <c:ser>
          <c:idx val="2"/>
          <c:order val="2"/>
          <c:tx>
            <c:strRef>
              <c:f>Sheet1!$D$1</c:f>
              <c:strCache>
                <c:ptCount val="1"/>
                <c:pt idx="0">
                  <c:v>Amp. Type 1</c:v>
                </c:pt>
              </c:strCache>
            </c:strRef>
          </c:tx>
          <c:spPr>
            <a:solidFill>
              <a:schemeClr val="accent3"/>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Sheet1!$A$2:$A$3</c:f>
              <c:strCache>
                <c:ptCount val="2"/>
                <c:pt idx="0">
                  <c:v>Avg. UPT</c:v>
                </c:pt>
                <c:pt idx="1">
                  <c:v>5% UPT</c:v>
                </c:pt>
              </c:strCache>
            </c:strRef>
          </c:cat>
          <c:val>
            <c:numRef>
              <c:f>Sheet1!$D$2:$D$3</c:f>
              <c:numCache>
                <c:formatCode>General</c:formatCode>
                <c:ptCount val="2"/>
                <c:pt idx="0">
                  <c:v>1.3211158151133795</c:v>
                </c:pt>
                <c:pt idx="1">
                  <c:v>1.6116757267785393</c:v>
                </c:pt>
              </c:numCache>
            </c:numRef>
          </c:val>
        </c:ser>
        <c:ser>
          <c:idx val="3"/>
          <c:order val="3"/>
          <c:tx>
            <c:strRef>
              <c:f>Sheet1!$E$1</c:f>
              <c:strCache>
                <c:ptCount val="1"/>
                <c:pt idx="0">
                  <c:v>Amp. Type 2</c:v>
                </c:pt>
              </c:strCache>
            </c:strRef>
          </c:tx>
          <c:spPr>
            <a:solidFill>
              <a:schemeClr val="accent4"/>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Sheet1!$A$2:$A$3</c:f>
              <c:strCache>
                <c:ptCount val="2"/>
                <c:pt idx="0">
                  <c:v>Avg. UPT</c:v>
                </c:pt>
                <c:pt idx="1">
                  <c:v>5% UPT</c:v>
                </c:pt>
              </c:strCache>
            </c:strRef>
          </c:cat>
          <c:val>
            <c:numRef>
              <c:f>Sheet1!$E$2:$E$3</c:f>
              <c:numCache>
                <c:formatCode>General</c:formatCode>
                <c:ptCount val="2"/>
                <c:pt idx="0">
                  <c:v>1.3303369483268574</c:v>
                </c:pt>
                <c:pt idx="1">
                  <c:v>1.7014890096903805</c:v>
                </c:pt>
              </c:numCache>
            </c:numRef>
          </c:val>
        </c:ser>
        <c:ser>
          <c:idx val="4"/>
          <c:order val="4"/>
          <c:tx>
            <c:strRef>
              <c:f>Sheet1!$F$1</c:f>
              <c:strCache>
                <c:ptCount val="1"/>
                <c:pt idx="0">
                  <c:v>Amp. Type 3</c:v>
                </c:pt>
              </c:strCache>
            </c:strRef>
          </c:tx>
          <c:spPr>
            <a:solidFill>
              <a:schemeClr val="accent5"/>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Sheet1!$A$2:$A$3</c:f>
              <c:strCache>
                <c:ptCount val="2"/>
                <c:pt idx="0">
                  <c:v>Avg. UPT</c:v>
                </c:pt>
                <c:pt idx="1">
                  <c:v>5% UPT</c:v>
                </c:pt>
              </c:strCache>
            </c:strRef>
          </c:cat>
          <c:val>
            <c:numRef>
              <c:f>Sheet1!$F$2:$F$3</c:f>
              <c:numCache>
                <c:formatCode>General</c:formatCode>
                <c:ptCount val="2"/>
                <c:pt idx="0">
                  <c:v>1.4317694136751147</c:v>
                </c:pt>
                <c:pt idx="1">
                  <c:v>1.9227133065469155</c:v>
                </c:pt>
              </c:numCache>
            </c:numRef>
          </c:val>
        </c:ser>
        <c:ser>
          <c:idx val="5"/>
          <c:order val="5"/>
          <c:tx>
            <c:strRef>
              <c:f>Sheet1!$G$1</c:f>
              <c:strCache>
                <c:ptCount val="1"/>
                <c:pt idx="0">
                  <c:v>Ideal</c:v>
                </c:pt>
              </c:strCache>
            </c:strRef>
          </c:tx>
          <c:spPr>
            <a:solidFill>
              <a:schemeClr val="accent6"/>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Sheet1!$A$2:$A$3</c:f>
              <c:strCache>
                <c:ptCount val="2"/>
                <c:pt idx="0">
                  <c:v>Avg. UPT</c:v>
                </c:pt>
                <c:pt idx="1">
                  <c:v>5% UPT</c:v>
                </c:pt>
              </c:strCache>
            </c:strRef>
          </c:cat>
          <c:val>
            <c:numRef>
              <c:f>Sheet1!$G$2:$G$3</c:f>
              <c:numCache>
                <c:formatCode>0.00%</c:formatCode>
                <c:ptCount val="2"/>
                <c:pt idx="0">
                  <c:v>1.738</c:v>
                </c:pt>
                <c:pt idx="1">
                  <c:v>2.5259999999999998</c:v>
                </c:pt>
              </c:numCache>
            </c:numRef>
          </c:val>
        </c:ser>
        <c:dLbls>
          <c:dLblPos val="outEnd"/>
          <c:showLegendKey val="0"/>
          <c:showVal val="1"/>
          <c:showCatName val="0"/>
          <c:showSerName val="0"/>
          <c:showPercent val="0"/>
          <c:showBubbleSize val="0"/>
        </c:dLbls>
        <c:gapWidth val="444"/>
        <c:overlap val="-90"/>
        <c:axId val="870552192"/>
        <c:axId val="870551408"/>
      </c:barChart>
      <c:catAx>
        <c:axId val="870552192"/>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cap="all" spc="120" normalizeH="0" baseline="0">
                <a:solidFill>
                  <a:schemeClr val="tx1">
                    <a:lumMod val="65000"/>
                    <a:lumOff val="35000"/>
                  </a:schemeClr>
                </a:solidFill>
                <a:latin typeface="+mn-lt"/>
                <a:ea typeface="+mn-ea"/>
                <a:cs typeface="+mn-cs"/>
              </a:defRPr>
            </a:pPr>
            <a:endParaRPr lang="en-US"/>
          </a:p>
        </c:txPr>
        <c:crossAx val="870551408"/>
        <c:crosses val="autoZero"/>
        <c:auto val="1"/>
        <c:lblAlgn val="ctr"/>
        <c:lblOffset val="100"/>
        <c:noMultiLvlLbl val="0"/>
      </c:catAx>
      <c:valAx>
        <c:axId val="870551408"/>
        <c:scaling>
          <c:orientation val="minMax"/>
          <c:max val="2.7"/>
          <c:min val="0.9"/>
        </c:scaling>
        <c:delete val="1"/>
        <c:axPos val="l"/>
        <c:numFmt formatCode="0%" sourceLinked="0"/>
        <c:majorTickMark val="none"/>
        <c:minorTickMark val="none"/>
        <c:tickLblPos val="nextTo"/>
        <c:crossAx val="870552192"/>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600" b="1" i="0" u="none" strike="noStrike" kern="1200" cap="all" spc="120" normalizeH="0" baseline="0">
                <a:solidFill>
                  <a:schemeClr val="tx1">
                    <a:lumMod val="65000"/>
                    <a:lumOff val="35000"/>
                  </a:schemeClr>
                </a:solidFill>
                <a:latin typeface="+mn-lt"/>
                <a:ea typeface="+mn-ea"/>
                <a:cs typeface="+mn-cs"/>
              </a:defRPr>
            </a:pPr>
            <a:r>
              <a:rPr lang="en-US" sz="1000" b="1" i="1" cap="none" baseline="0">
                <a:solidFill>
                  <a:srgbClr val="FF0000"/>
                </a:solidFill>
                <a:effectLst/>
              </a:rPr>
              <a:t>L</a:t>
            </a:r>
            <a:r>
              <a:rPr lang="en-US" sz="1000" b="1" i="0" cap="none" baseline="0">
                <a:solidFill>
                  <a:srgbClr val="FF0000"/>
                </a:solidFill>
                <a:effectLst/>
              </a:rPr>
              <a:t> = 4 beams, quantized SB amp. and SB phase</a:t>
            </a:r>
            <a:endParaRPr lang="en-US" sz="1000" cap="none" baseline="0">
              <a:solidFill>
                <a:srgbClr val="FF0000"/>
              </a:solidFill>
              <a:effectLst/>
            </a:endParaRPr>
          </a:p>
        </c:rich>
      </c:tx>
      <c:layout>
        <c:manualLayout>
          <c:xMode val="edge"/>
          <c:yMode val="edge"/>
          <c:x val="2.802982787396667E-2"/>
          <c:y val="0.27777777777777779"/>
        </c:manualLayout>
      </c:layout>
      <c:overlay val="1"/>
      <c:spPr>
        <a:noFill/>
        <a:ln>
          <a:noFill/>
        </a:ln>
        <a:effectLst/>
      </c:spPr>
      <c:txPr>
        <a:bodyPr rot="0" spcFirstLastPara="1" vertOverflow="ellipsis" vert="horz" wrap="square" anchor="ctr" anchorCtr="1"/>
        <a:lstStyle/>
        <a:p>
          <a:pPr>
            <a:defRPr sz="1600" b="1" i="0" u="none" strike="noStrike" kern="1200" cap="all" spc="120" normalizeH="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Sheet1!$B$1</c:f>
              <c:strCache>
                <c:ptCount val="1"/>
                <c:pt idx="0">
                  <c:v>R14 Adv. CSI CB</c:v>
                </c:pt>
              </c:strCache>
            </c:strRef>
          </c:tx>
          <c:spPr>
            <a:solidFill>
              <a:schemeClr val="accent1"/>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Sheet1!$A$2:$A$3</c:f>
              <c:strCache>
                <c:ptCount val="2"/>
                <c:pt idx="0">
                  <c:v>Avg. UPT</c:v>
                </c:pt>
                <c:pt idx="1">
                  <c:v>5% UPT</c:v>
                </c:pt>
              </c:strCache>
            </c:strRef>
          </c:cat>
          <c:val>
            <c:numRef>
              <c:f>Sheet1!$B$2:$B$3</c:f>
              <c:numCache>
                <c:formatCode>General</c:formatCode>
                <c:ptCount val="2"/>
                <c:pt idx="0">
                  <c:v>1</c:v>
                </c:pt>
                <c:pt idx="1">
                  <c:v>1</c:v>
                </c:pt>
              </c:numCache>
            </c:numRef>
          </c:val>
        </c:ser>
        <c:ser>
          <c:idx val="1"/>
          <c:order val="1"/>
          <c:tx>
            <c:strRef>
              <c:f>Sheet1!$C$1</c:f>
              <c:strCache>
                <c:ptCount val="1"/>
                <c:pt idx="0">
                  <c:v>Amp. Type 0</c:v>
                </c:pt>
              </c:strCache>
            </c:strRef>
          </c:tx>
          <c:spPr>
            <a:solidFill>
              <a:schemeClr val="accent2"/>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Sheet1!$A$2:$A$3</c:f>
              <c:strCache>
                <c:ptCount val="2"/>
                <c:pt idx="0">
                  <c:v>Avg. UPT</c:v>
                </c:pt>
                <c:pt idx="1">
                  <c:v>5% UPT</c:v>
                </c:pt>
              </c:strCache>
            </c:strRef>
          </c:cat>
          <c:val>
            <c:numRef>
              <c:f>Sheet1!$C$2:$C$3</c:f>
              <c:numCache>
                <c:formatCode>General</c:formatCode>
                <c:ptCount val="2"/>
                <c:pt idx="0">
                  <c:v>1.3040654178507223</c:v>
                </c:pt>
                <c:pt idx="1">
                  <c:v>1.5670054360671237</c:v>
                </c:pt>
              </c:numCache>
            </c:numRef>
          </c:val>
        </c:ser>
        <c:ser>
          <c:idx val="2"/>
          <c:order val="2"/>
          <c:tx>
            <c:strRef>
              <c:f>Sheet1!$D$1</c:f>
              <c:strCache>
                <c:ptCount val="1"/>
                <c:pt idx="0">
                  <c:v>Amp. Type 1</c:v>
                </c:pt>
              </c:strCache>
            </c:strRef>
          </c:tx>
          <c:spPr>
            <a:solidFill>
              <a:schemeClr val="accent3"/>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Sheet1!$A$2:$A$3</c:f>
              <c:strCache>
                <c:ptCount val="2"/>
                <c:pt idx="0">
                  <c:v>Avg. UPT</c:v>
                </c:pt>
                <c:pt idx="1">
                  <c:v>5% UPT</c:v>
                </c:pt>
              </c:strCache>
            </c:strRef>
          </c:cat>
          <c:val>
            <c:numRef>
              <c:f>Sheet1!$D$2:$D$3</c:f>
              <c:numCache>
                <c:formatCode>General</c:formatCode>
                <c:ptCount val="2"/>
                <c:pt idx="0">
                  <c:v>1.3663515629530825</c:v>
                </c:pt>
                <c:pt idx="1">
                  <c:v>1.7466320018908059</c:v>
                </c:pt>
              </c:numCache>
            </c:numRef>
          </c:val>
        </c:ser>
        <c:ser>
          <c:idx val="3"/>
          <c:order val="3"/>
          <c:tx>
            <c:strRef>
              <c:f>Sheet1!$E$1</c:f>
              <c:strCache>
                <c:ptCount val="1"/>
                <c:pt idx="0">
                  <c:v>Amp. Type 2</c:v>
                </c:pt>
              </c:strCache>
            </c:strRef>
          </c:tx>
          <c:spPr>
            <a:solidFill>
              <a:schemeClr val="accent4"/>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Sheet1!$A$2:$A$3</c:f>
              <c:strCache>
                <c:ptCount val="2"/>
                <c:pt idx="0">
                  <c:v>Avg. UPT</c:v>
                </c:pt>
                <c:pt idx="1">
                  <c:v>5% UPT</c:v>
                </c:pt>
              </c:strCache>
            </c:strRef>
          </c:cat>
          <c:val>
            <c:numRef>
              <c:f>Sheet1!$E$2:$E$3</c:f>
              <c:numCache>
                <c:formatCode>General</c:formatCode>
                <c:ptCount val="2"/>
                <c:pt idx="0">
                  <c:v>1.3527808386011717</c:v>
                </c:pt>
                <c:pt idx="1">
                  <c:v>1.7218151737177974</c:v>
                </c:pt>
              </c:numCache>
            </c:numRef>
          </c:val>
        </c:ser>
        <c:ser>
          <c:idx val="4"/>
          <c:order val="4"/>
          <c:tx>
            <c:strRef>
              <c:f>Sheet1!$F$1</c:f>
              <c:strCache>
                <c:ptCount val="1"/>
                <c:pt idx="0">
                  <c:v>Amp. Type 3</c:v>
                </c:pt>
              </c:strCache>
            </c:strRef>
          </c:tx>
          <c:spPr>
            <a:solidFill>
              <a:schemeClr val="accent5"/>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Sheet1!$A$2:$A$3</c:f>
              <c:strCache>
                <c:ptCount val="2"/>
                <c:pt idx="0">
                  <c:v>Avg. UPT</c:v>
                </c:pt>
                <c:pt idx="1">
                  <c:v>5% UPT</c:v>
                </c:pt>
              </c:strCache>
            </c:strRef>
          </c:cat>
          <c:val>
            <c:numRef>
              <c:f>Sheet1!$F$2:$F$3</c:f>
              <c:numCache>
                <c:formatCode>General</c:formatCode>
                <c:ptCount val="2"/>
                <c:pt idx="0">
                  <c:v>1.5307661079858494</c:v>
                </c:pt>
                <c:pt idx="1">
                  <c:v>2.2039706925076814</c:v>
                </c:pt>
              </c:numCache>
            </c:numRef>
          </c:val>
        </c:ser>
        <c:ser>
          <c:idx val="5"/>
          <c:order val="5"/>
          <c:tx>
            <c:strRef>
              <c:f>Sheet1!$G$1</c:f>
              <c:strCache>
                <c:ptCount val="1"/>
                <c:pt idx="0">
                  <c:v>Ideal</c:v>
                </c:pt>
              </c:strCache>
            </c:strRef>
          </c:tx>
          <c:spPr>
            <a:solidFill>
              <a:schemeClr val="accent6"/>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Sheet1!$A$2:$A$3</c:f>
              <c:strCache>
                <c:ptCount val="2"/>
                <c:pt idx="0">
                  <c:v>Avg. UPT</c:v>
                </c:pt>
                <c:pt idx="1">
                  <c:v>5% UPT</c:v>
                </c:pt>
              </c:strCache>
            </c:strRef>
          </c:cat>
          <c:val>
            <c:numRef>
              <c:f>Sheet1!$G$2:$G$3</c:f>
              <c:numCache>
                <c:formatCode>0.00%</c:formatCode>
                <c:ptCount val="2"/>
                <c:pt idx="0">
                  <c:v>1.738</c:v>
                </c:pt>
                <c:pt idx="1">
                  <c:v>2.5259999999999998</c:v>
                </c:pt>
              </c:numCache>
            </c:numRef>
          </c:val>
        </c:ser>
        <c:dLbls>
          <c:dLblPos val="outEnd"/>
          <c:showLegendKey val="0"/>
          <c:showVal val="1"/>
          <c:showCatName val="0"/>
          <c:showSerName val="0"/>
          <c:showPercent val="0"/>
          <c:showBubbleSize val="0"/>
        </c:dLbls>
        <c:gapWidth val="444"/>
        <c:overlap val="-90"/>
        <c:axId val="870550624"/>
        <c:axId val="870548664"/>
      </c:barChart>
      <c:catAx>
        <c:axId val="870550624"/>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cap="all" spc="120" normalizeH="0" baseline="0">
                <a:solidFill>
                  <a:schemeClr val="tx1">
                    <a:lumMod val="65000"/>
                    <a:lumOff val="35000"/>
                  </a:schemeClr>
                </a:solidFill>
                <a:latin typeface="+mn-lt"/>
                <a:ea typeface="+mn-ea"/>
                <a:cs typeface="+mn-cs"/>
              </a:defRPr>
            </a:pPr>
            <a:endParaRPr lang="en-US"/>
          </a:p>
        </c:txPr>
        <c:crossAx val="870548664"/>
        <c:crosses val="autoZero"/>
        <c:auto val="1"/>
        <c:lblAlgn val="ctr"/>
        <c:lblOffset val="100"/>
        <c:noMultiLvlLbl val="0"/>
      </c:catAx>
      <c:valAx>
        <c:axId val="870548664"/>
        <c:scaling>
          <c:orientation val="minMax"/>
          <c:max val="2.7"/>
          <c:min val="0.9"/>
        </c:scaling>
        <c:delete val="1"/>
        <c:axPos val="l"/>
        <c:numFmt formatCode="0%" sourceLinked="0"/>
        <c:majorTickMark val="none"/>
        <c:minorTickMark val="none"/>
        <c:tickLblPos val="nextTo"/>
        <c:crossAx val="870550624"/>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Sheet1!$B$1</c:f>
              <c:strCache>
                <c:ptCount val="1"/>
                <c:pt idx="0">
                  <c:v>R14 Adv. CSI CB</c:v>
                </c:pt>
              </c:strCache>
            </c:strRef>
          </c:tx>
          <c:spPr>
            <a:solidFill>
              <a:schemeClr val="accent1"/>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Sheet1!$A$2:$A$3</c:f>
              <c:strCache>
                <c:ptCount val="2"/>
                <c:pt idx="0">
                  <c:v>Avg. UPT</c:v>
                </c:pt>
                <c:pt idx="1">
                  <c:v>5% UPT</c:v>
                </c:pt>
              </c:strCache>
            </c:strRef>
          </c:cat>
          <c:val>
            <c:numRef>
              <c:f>Sheet1!$B$2:$B$3</c:f>
              <c:numCache>
                <c:formatCode>0.0%</c:formatCode>
                <c:ptCount val="2"/>
                <c:pt idx="0">
                  <c:v>1</c:v>
                </c:pt>
                <c:pt idx="1">
                  <c:v>1</c:v>
                </c:pt>
              </c:numCache>
            </c:numRef>
          </c:val>
        </c:ser>
        <c:ser>
          <c:idx val="1"/>
          <c:order val="1"/>
          <c:tx>
            <c:strRef>
              <c:f>Sheet1!$C$1</c:f>
              <c:strCache>
                <c:ptCount val="1"/>
                <c:pt idx="0">
                  <c:v>3 bit WB amp.</c:v>
                </c:pt>
              </c:strCache>
            </c:strRef>
          </c:tx>
          <c:spPr>
            <a:solidFill>
              <a:schemeClr val="accent2"/>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Sheet1!$A$2:$A$3</c:f>
              <c:strCache>
                <c:ptCount val="2"/>
                <c:pt idx="0">
                  <c:v>Avg. UPT</c:v>
                </c:pt>
                <c:pt idx="1">
                  <c:v>5% UPT</c:v>
                </c:pt>
              </c:strCache>
            </c:strRef>
          </c:cat>
          <c:val>
            <c:numRef>
              <c:f>Sheet1!$C$2:$C$3</c:f>
              <c:numCache>
                <c:formatCode>0.0%</c:formatCode>
                <c:ptCount val="2"/>
                <c:pt idx="0">
                  <c:v>1.4305515281563534</c:v>
                </c:pt>
                <c:pt idx="1">
                  <c:v>1.9669108957693215</c:v>
                </c:pt>
              </c:numCache>
            </c:numRef>
          </c:val>
        </c:ser>
        <c:ser>
          <c:idx val="2"/>
          <c:order val="2"/>
          <c:tx>
            <c:strRef>
              <c:f>Sheet1!$D$1</c:f>
              <c:strCache>
                <c:ptCount val="1"/>
                <c:pt idx="0">
                  <c:v>3 bit WB + 1 bit SB amp.</c:v>
                </c:pt>
              </c:strCache>
            </c:strRef>
          </c:tx>
          <c:spPr>
            <a:solidFill>
              <a:schemeClr val="accent3"/>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Sheet1!$A$2:$A$3</c:f>
              <c:strCache>
                <c:ptCount val="2"/>
                <c:pt idx="0">
                  <c:v>Avg. UPT</c:v>
                </c:pt>
                <c:pt idx="1">
                  <c:v>5% UPT</c:v>
                </c:pt>
              </c:strCache>
            </c:strRef>
          </c:cat>
          <c:val>
            <c:numRef>
              <c:f>Sheet1!$D$2:$D$3</c:f>
              <c:numCache>
                <c:formatCode>0.0%</c:formatCode>
                <c:ptCount val="2"/>
                <c:pt idx="0">
                  <c:v>1.4826306327205245</c:v>
                </c:pt>
                <c:pt idx="1">
                  <c:v>2.1340108721342474</c:v>
                </c:pt>
              </c:numCache>
            </c:numRef>
          </c:val>
        </c:ser>
        <c:ser>
          <c:idx val="3"/>
          <c:order val="3"/>
          <c:tx>
            <c:strRef>
              <c:f>Sheet1!$E$1</c:f>
              <c:strCache>
                <c:ptCount val="1"/>
                <c:pt idx="0">
                  <c:v>3 bit SB amp.</c:v>
                </c:pt>
              </c:strCache>
            </c:strRef>
          </c:tx>
          <c:spPr>
            <a:solidFill>
              <a:schemeClr val="accent4"/>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Sheet1!$A$2:$A$3</c:f>
              <c:strCache>
                <c:ptCount val="2"/>
                <c:pt idx="0">
                  <c:v>Avg. UPT</c:v>
                </c:pt>
                <c:pt idx="1">
                  <c:v>5% UPT</c:v>
                </c:pt>
              </c:strCache>
            </c:strRef>
          </c:cat>
          <c:val>
            <c:numRef>
              <c:f>Sheet1!$E$2:$E$3</c:f>
              <c:numCache>
                <c:formatCode>0.0%</c:formatCode>
                <c:ptCount val="2"/>
                <c:pt idx="0">
                  <c:v>1.5307661079858494</c:v>
                </c:pt>
                <c:pt idx="1">
                  <c:v>2.2039706925076814</c:v>
                </c:pt>
              </c:numCache>
            </c:numRef>
          </c:val>
        </c:ser>
        <c:ser>
          <c:idx val="4"/>
          <c:order val="4"/>
          <c:tx>
            <c:strRef>
              <c:f>Sheet1!$F$1</c:f>
              <c:strCache>
                <c:ptCount val="1"/>
                <c:pt idx="0">
                  <c:v>Unquantized</c:v>
                </c:pt>
              </c:strCache>
            </c:strRef>
          </c:tx>
          <c:spPr>
            <a:solidFill>
              <a:schemeClr val="accent5"/>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Sheet1!$A$2:$A$3</c:f>
              <c:strCache>
                <c:ptCount val="2"/>
                <c:pt idx="0">
                  <c:v>Avg. UPT</c:v>
                </c:pt>
                <c:pt idx="1">
                  <c:v>5% UPT</c:v>
                </c:pt>
              </c:strCache>
            </c:strRef>
          </c:cat>
          <c:val>
            <c:numRef>
              <c:f>Sheet1!$F$2:$F$3</c:f>
              <c:numCache>
                <c:formatCode>General</c:formatCode>
                <c:ptCount val="2"/>
                <c:pt idx="0">
                  <c:v>1.5775677086353885</c:v>
                </c:pt>
                <c:pt idx="1">
                  <c:v>2.247459229496573</c:v>
                </c:pt>
              </c:numCache>
            </c:numRef>
          </c:val>
        </c:ser>
        <c:ser>
          <c:idx val="5"/>
          <c:order val="5"/>
          <c:tx>
            <c:strRef>
              <c:f>Sheet1!$G$1</c:f>
              <c:strCache>
                <c:ptCount val="1"/>
                <c:pt idx="0">
                  <c:v>Ideal</c:v>
                </c:pt>
              </c:strCache>
            </c:strRef>
          </c:tx>
          <c:spPr>
            <a:solidFill>
              <a:schemeClr val="accent6"/>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Sheet1!$A$2:$A$3</c:f>
              <c:strCache>
                <c:ptCount val="2"/>
                <c:pt idx="0">
                  <c:v>Avg. UPT</c:v>
                </c:pt>
                <c:pt idx="1">
                  <c:v>5% UPT</c:v>
                </c:pt>
              </c:strCache>
            </c:strRef>
          </c:cat>
          <c:val>
            <c:numRef>
              <c:f>Sheet1!$G$2:$G$3</c:f>
              <c:numCache>
                <c:formatCode>General</c:formatCode>
                <c:ptCount val="2"/>
                <c:pt idx="0">
                  <c:v>1.7383865916603842</c:v>
                </c:pt>
                <c:pt idx="1">
                  <c:v>2.5261167572677854</c:v>
                </c:pt>
              </c:numCache>
            </c:numRef>
          </c:val>
        </c:ser>
        <c:dLbls>
          <c:dLblPos val="outEnd"/>
          <c:showLegendKey val="0"/>
          <c:showVal val="1"/>
          <c:showCatName val="0"/>
          <c:showSerName val="0"/>
          <c:showPercent val="0"/>
          <c:showBubbleSize val="0"/>
        </c:dLbls>
        <c:gapWidth val="444"/>
        <c:overlap val="-90"/>
        <c:axId val="855470720"/>
        <c:axId val="855470328"/>
      </c:barChart>
      <c:catAx>
        <c:axId val="855470720"/>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cap="all" spc="120" normalizeH="0" baseline="0">
                <a:solidFill>
                  <a:schemeClr val="tx1">
                    <a:lumMod val="65000"/>
                    <a:lumOff val="35000"/>
                  </a:schemeClr>
                </a:solidFill>
                <a:latin typeface="+mn-lt"/>
                <a:ea typeface="+mn-ea"/>
                <a:cs typeface="+mn-cs"/>
              </a:defRPr>
            </a:pPr>
            <a:endParaRPr lang="en-US"/>
          </a:p>
        </c:txPr>
        <c:crossAx val="855470328"/>
        <c:crosses val="autoZero"/>
        <c:auto val="1"/>
        <c:lblAlgn val="ctr"/>
        <c:lblOffset val="100"/>
        <c:noMultiLvlLbl val="0"/>
      </c:catAx>
      <c:valAx>
        <c:axId val="855470328"/>
        <c:scaling>
          <c:orientation val="minMax"/>
          <c:max val="2.6"/>
          <c:min val="0.8"/>
        </c:scaling>
        <c:delete val="1"/>
        <c:axPos val="l"/>
        <c:numFmt formatCode="0%" sourceLinked="0"/>
        <c:majorTickMark val="none"/>
        <c:minorTickMark val="none"/>
        <c:tickLblPos val="nextTo"/>
        <c:crossAx val="855470720"/>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en-US"/>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2">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800" kern="1200" cap="all" spc="1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50000"/>
        <a:lumOff val="50000"/>
      </a:schemeClr>
    </cs:fontRef>
    <cs:defRPr sz="800" b="0" i="0" u="none" strike="noStrike" kern="1200" baseline="0"/>
    <cs:bodyPr rot="-5400000" spcFirstLastPara="1" vertOverflow="clip" horzOverflow="clip" vert="horz" wrap="square" lIns="38100" tIns="19050" rIns="38100" bIns="19050" anchor="ctr" anchorCtr="1">
      <a:spAutoFit/>
    </cs:bodyPr>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cs:spPr>
  </cs:dataPoint>
  <cs:dataPoint3D>
    <cs:lnRef idx="0"/>
    <cs:fillRef idx="0">
      <cs:styleClr val="auto"/>
    </cs:fillRef>
    <cs:effectRef idx="0"/>
    <cs:fontRef idx="minor">
      <a:schemeClr val="dk1"/>
    </cs:fontRef>
    <cs:spPr>
      <a:solidFill>
        <a:schemeClr val="phClr"/>
      </a:solidFill>
    </cs:spPr>
  </cs:dataPoint3D>
  <cs:dataPointLine>
    <cs:lnRef idx="0">
      <cs:styleClr val="auto"/>
    </cs:lnRef>
    <cs:fillRef idx="0"/>
    <cs:effectRef idx="0"/>
    <cs:fontRef idx="minor">
      <a:schemeClr val="dk1"/>
    </cs:fontRef>
    <cs:spPr>
      <a:ln w="22225" cap="rnd">
        <a:solidFill>
          <a:schemeClr val="phClr"/>
        </a:solidFill>
        <a:round/>
      </a:ln>
    </cs:spPr>
  </cs:dataPointLine>
  <cs:dataPointMarker>
    <cs:lnRef idx="0">
      <cs:styleClr val="auto"/>
    </cs:lnRef>
    <cs:fillRef idx="0">
      <cs:styleClr val="auto"/>
    </cs:fillRef>
    <cs:effectRef idx="0"/>
    <cs:fontRef idx="minor">
      <a:schemeClr val="dk1"/>
    </cs:fontRef>
    <cs:spPr>
      <a:solidFill>
        <a:schemeClr val="phClr"/>
      </a:solidFill>
      <a:ln w="9525">
        <a:solidFill>
          <a:schemeClr val="phClr"/>
        </a:solidFill>
        <a:round/>
      </a:ln>
    </cs:spPr>
  </cs:dataPointMarker>
  <cs:dataPointMarkerLayout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15000"/>
            <a:lumOff val="85000"/>
          </a:schemeClr>
        </a:solidFill>
      </a:ln>
    </cs:spPr>
  </cs:downBar>
  <cs:dropLine>
    <cs:lnRef idx="0"/>
    <cs:fillRef idx="0"/>
    <cs:effectRef idx="0"/>
    <cs:fontRef idx="minor">
      <a:schemeClr val="dk1"/>
    </cs:fontRef>
    <cs:spPr>
      <a:ln w="9525">
        <a:solidFill>
          <a:schemeClr val="tx1">
            <a:lumMod val="35000"/>
            <a:lumOff val="65000"/>
          </a:schemeClr>
        </a:solidFill>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15000"/>
            <a:lumOff val="8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50000"/>
            <a:lumOff val="50000"/>
          </a:schemeClr>
        </a:solidFill>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cap="all" spc="120" normalizeH="0" baseline="0"/>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8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spPr>
      <a:ln w="9525" cap="flat" cmpd="sng" algn="ctr">
        <a:solidFill>
          <a:schemeClr val="dk1">
            <a:lumMod val="15000"/>
            <a:lumOff val="85000"/>
          </a:schemeClr>
        </a:solidFill>
        <a:round/>
      </a:ln>
    </cs:spPr>
    <cs:defRPr sz="900" kern="1200"/>
  </cs:valueAxis>
  <cs:wall>
    <cs:lnRef idx="0"/>
    <cs:fillRef idx="0"/>
    <cs:effectRef idx="0"/>
    <cs:fontRef idx="minor">
      <a:schemeClr val="dk1"/>
    </cs:fontRef>
  </cs:wall>
</cs:chartStyle>
</file>

<file path=word/charts/style2.xml><?xml version="1.0" encoding="utf-8"?>
<cs:chartStyle xmlns:cs="http://schemas.microsoft.com/office/drawing/2012/chartStyle" xmlns:a="http://schemas.openxmlformats.org/drawingml/2006/main" id="202">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800" kern="1200" cap="all" spc="1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50000"/>
        <a:lumOff val="50000"/>
      </a:schemeClr>
    </cs:fontRef>
    <cs:defRPr sz="800" b="0" i="0" u="none" strike="noStrike" kern="1200" baseline="0"/>
    <cs:bodyPr rot="-5400000" spcFirstLastPara="1" vertOverflow="clip" horzOverflow="clip" vert="horz" wrap="square" lIns="38100" tIns="19050" rIns="38100" bIns="19050" anchor="ctr" anchorCtr="1">
      <a:spAutoFit/>
    </cs:bodyPr>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cs:spPr>
  </cs:dataPoint>
  <cs:dataPoint3D>
    <cs:lnRef idx="0"/>
    <cs:fillRef idx="0">
      <cs:styleClr val="auto"/>
    </cs:fillRef>
    <cs:effectRef idx="0"/>
    <cs:fontRef idx="minor">
      <a:schemeClr val="dk1"/>
    </cs:fontRef>
    <cs:spPr>
      <a:solidFill>
        <a:schemeClr val="phClr"/>
      </a:solidFill>
    </cs:spPr>
  </cs:dataPoint3D>
  <cs:dataPointLine>
    <cs:lnRef idx="0">
      <cs:styleClr val="auto"/>
    </cs:lnRef>
    <cs:fillRef idx="0"/>
    <cs:effectRef idx="0"/>
    <cs:fontRef idx="minor">
      <a:schemeClr val="dk1"/>
    </cs:fontRef>
    <cs:spPr>
      <a:ln w="22225" cap="rnd">
        <a:solidFill>
          <a:schemeClr val="phClr"/>
        </a:solidFill>
        <a:round/>
      </a:ln>
    </cs:spPr>
  </cs:dataPointLine>
  <cs:dataPointMarker>
    <cs:lnRef idx="0">
      <cs:styleClr val="auto"/>
    </cs:lnRef>
    <cs:fillRef idx="0">
      <cs:styleClr val="auto"/>
    </cs:fillRef>
    <cs:effectRef idx="0"/>
    <cs:fontRef idx="minor">
      <a:schemeClr val="dk1"/>
    </cs:fontRef>
    <cs:spPr>
      <a:solidFill>
        <a:schemeClr val="phClr"/>
      </a:solidFill>
      <a:ln w="9525">
        <a:solidFill>
          <a:schemeClr val="phClr"/>
        </a:solidFill>
        <a:round/>
      </a:ln>
    </cs:spPr>
  </cs:dataPointMarker>
  <cs:dataPointMarkerLayout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15000"/>
            <a:lumOff val="85000"/>
          </a:schemeClr>
        </a:solidFill>
      </a:ln>
    </cs:spPr>
  </cs:downBar>
  <cs:dropLine>
    <cs:lnRef idx="0"/>
    <cs:fillRef idx="0"/>
    <cs:effectRef idx="0"/>
    <cs:fontRef idx="minor">
      <a:schemeClr val="dk1"/>
    </cs:fontRef>
    <cs:spPr>
      <a:ln w="9525">
        <a:solidFill>
          <a:schemeClr val="tx1">
            <a:lumMod val="35000"/>
            <a:lumOff val="65000"/>
          </a:schemeClr>
        </a:solidFill>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15000"/>
            <a:lumOff val="8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50000"/>
            <a:lumOff val="50000"/>
          </a:schemeClr>
        </a:solidFill>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cap="all" spc="120" normalizeH="0" baseline="0"/>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8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spPr>
      <a:ln w="9525" cap="flat" cmpd="sng" algn="ctr">
        <a:solidFill>
          <a:schemeClr val="dk1">
            <a:lumMod val="15000"/>
            <a:lumOff val="85000"/>
          </a:schemeClr>
        </a:solidFill>
        <a:round/>
      </a:ln>
    </cs:spPr>
    <cs:defRPr sz="900" kern="1200"/>
  </cs:valueAxis>
  <cs:wall>
    <cs:lnRef idx="0"/>
    <cs:fillRef idx="0"/>
    <cs:effectRef idx="0"/>
    <cs:fontRef idx="minor">
      <a:schemeClr val="dk1"/>
    </cs:fontRef>
  </cs:wall>
</cs:chartStyle>
</file>

<file path=word/charts/style3.xml><?xml version="1.0" encoding="utf-8"?>
<cs:chartStyle xmlns:cs="http://schemas.microsoft.com/office/drawing/2012/chartStyle" xmlns:a="http://schemas.openxmlformats.org/drawingml/2006/main" id="202">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800" kern="1200" cap="all" spc="1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50000"/>
        <a:lumOff val="50000"/>
      </a:schemeClr>
    </cs:fontRef>
    <cs:defRPr sz="800" b="0" i="0" u="none" strike="noStrike" kern="1200" baseline="0"/>
    <cs:bodyPr rot="-5400000" spcFirstLastPara="1" vertOverflow="clip" horzOverflow="clip" vert="horz" wrap="square" lIns="38100" tIns="19050" rIns="38100" bIns="19050" anchor="ctr" anchorCtr="1">
      <a:spAutoFit/>
    </cs:bodyPr>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cs:spPr>
  </cs:dataPoint>
  <cs:dataPoint3D>
    <cs:lnRef idx="0"/>
    <cs:fillRef idx="0">
      <cs:styleClr val="auto"/>
    </cs:fillRef>
    <cs:effectRef idx="0"/>
    <cs:fontRef idx="minor">
      <a:schemeClr val="dk1"/>
    </cs:fontRef>
    <cs:spPr>
      <a:solidFill>
        <a:schemeClr val="phClr"/>
      </a:solidFill>
    </cs:spPr>
  </cs:dataPoint3D>
  <cs:dataPointLine>
    <cs:lnRef idx="0">
      <cs:styleClr val="auto"/>
    </cs:lnRef>
    <cs:fillRef idx="0"/>
    <cs:effectRef idx="0"/>
    <cs:fontRef idx="minor">
      <a:schemeClr val="dk1"/>
    </cs:fontRef>
    <cs:spPr>
      <a:ln w="22225" cap="rnd">
        <a:solidFill>
          <a:schemeClr val="phClr"/>
        </a:solidFill>
        <a:round/>
      </a:ln>
    </cs:spPr>
  </cs:dataPointLine>
  <cs:dataPointMarker>
    <cs:lnRef idx="0">
      <cs:styleClr val="auto"/>
    </cs:lnRef>
    <cs:fillRef idx="0">
      <cs:styleClr val="auto"/>
    </cs:fillRef>
    <cs:effectRef idx="0"/>
    <cs:fontRef idx="minor">
      <a:schemeClr val="dk1"/>
    </cs:fontRef>
    <cs:spPr>
      <a:solidFill>
        <a:schemeClr val="phClr"/>
      </a:solidFill>
      <a:ln w="9525">
        <a:solidFill>
          <a:schemeClr val="phClr"/>
        </a:solidFill>
        <a:round/>
      </a:ln>
    </cs:spPr>
  </cs:dataPointMarker>
  <cs:dataPointMarkerLayout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15000"/>
            <a:lumOff val="85000"/>
          </a:schemeClr>
        </a:solidFill>
      </a:ln>
    </cs:spPr>
  </cs:downBar>
  <cs:dropLine>
    <cs:lnRef idx="0"/>
    <cs:fillRef idx="0"/>
    <cs:effectRef idx="0"/>
    <cs:fontRef idx="minor">
      <a:schemeClr val="dk1"/>
    </cs:fontRef>
    <cs:spPr>
      <a:ln w="9525">
        <a:solidFill>
          <a:schemeClr val="tx1">
            <a:lumMod val="35000"/>
            <a:lumOff val="65000"/>
          </a:schemeClr>
        </a:solidFill>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15000"/>
            <a:lumOff val="8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50000"/>
            <a:lumOff val="50000"/>
          </a:schemeClr>
        </a:solidFill>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cap="all" spc="120" normalizeH="0" baseline="0"/>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8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spPr>
      <a:ln w="9525" cap="flat" cmpd="sng" algn="ctr">
        <a:solidFill>
          <a:schemeClr val="dk1">
            <a:lumMod val="15000"/>
            <a:lumOff val="85000"/>
          </a:schemeClr>
        </a:solidFill>
        <a:round/>
      </a:ln>
    </cs:spPr>
    <cs:defRPr sz="900" kern="1200"/>
  </cs:valueAxis>
  <cs:wall>
    <cs:lnRef idx="0"/>
    <cs:fillRef idx="0"/>
    <cs:effectRef idx="0"/>
    <cs:fontRef idx="minor">
      <a:schemeClr val="dk1"/>
    </cs:fontRef>
  </cs:wall>
</cs:chartStyle>
</file>

<file path=word/charts/style4.xml><?xml version="1.0" encoding="utf-8"?>
<cs:chartStyle xmlns:cs="http://schemas.microsoft.com/office/drawing/2012/chartStyle" xmlns:a="http://schemas.openxmlformats.org/drawingml/2006/main" id="202">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800" kern="1200" cap="all" spc="1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50000"/>
        <a:lumOff val="50000"/>
      </a:schemeClr>
    </cs:fontRef>
    <cs:defRPr sz="800" b="0" i="0" u="none" strike="noStrike" kern="1200" baseline="0"/>
    <cs:bodyPr rot="-5400000" spcFirstLastPara="1" vertOverflow="clip" horzOverflow="clip" vert="horz" wrap="square" lIns="38100" tIns="19050" rIns="38100" bIns="19050" anchor="ctr" anchorCtr="1">
      <a:spAutoFit/>
    </cs:bodyPr>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cs:spPr>
  </cs:dataPoint>
  <cs:dataPoint3D>
    <cs:lnRef idx="0"/>
    <cs:fillRef idx="0">
      <cs:styleClr val="auto"/>
    </cs:fillRef>
    <cs:effectRef idx="0"/>
    <cs:fontRef idx="minor">
      <a:schemeClr val="dk1"/>
    </cs:fontRef>
    <cs:spPr>
      <a:solidFill>
        <a:schemeClr val="phClr"/>
      </a:solidFill>
    </cs:spPr>
  </cs:dataPoint3D>
  <cs:dataPointLine>
    <cs:lnRef idx="0">
      <cs:styleClr val="auto"/>
    </cs:lnRef>
    <cs:fillRef idx="0"/>
    <cs:effectRef idx="0"/>
    <cs:fontRef idx="minor">
      <a:schemeClr val="dk1"/>
    </cs:fontRef>
    <cs:spPr>
      <a:ln w="22225" cap="rnd">
        <a:solidFill>
          <a:schemeClr val="phClr"/>
        </a:solidFill>
        <a:round/>
      </a:ln>
    </cs:spPr>
  </cs:dataPointLine>
  <cs:dataPointMarker>
    <cs:lnRef idx="0">
      <cs:styleClr val="auto"/>
    </cs:lnRef>
    <cs:fillRef idx="0">
      <cs:styleClr val="auto"/>
    </cs:fillRef>
    <cs:effectRef idx="0"/>
    <cs:fontRef idx="minor">
      <a:schemeClr val="dk1"/>
    </cs:fontRef>
    <cs:spPr>
      <a:solidFill>
        <a:schemeClr val="phClr"/>
      </a:solidFill>
      <a:ln w="9525">
        <a:solidFill>
          <a:schemeClr val="phClr"/>
        </a:solidFill>
        <a:round/>
      </a:ln>
    </cs:spPr>
  </cs:dataPointMarker>
  <cs:dataPointMarkerLayout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15000"/>
            <a:lumOff val="85000"/>
          </a:schemeClr>
        </a:solidFill>
      </a:ln>
    </cs:spPr>
  </cs:downBar>
  <cs:dropLine>
    <cs:lnRef idx="0"/>
    <cs:fillRef idx="0"/>
    <cs:effectRef idx="0"/>
    <cs:fontRef idx="minor">
      <a:schemeClr val="dk1"/>
    </cs:fontRef>
    <cs:spPr>
      <a:ln w="9525">
        <a:solidFill>
          <a:schemeClr val="tx1">
            <a:lumMod val="35000"/>
            <a:lumOff val="65000"/>
          </a:schemeClr>
        </a:solidFill>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15000"/>
            <a:lumOff val="8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50000"/>
            <a:lumOff val="50000"/>
          </a:schemeClr>
        </a:solidFill>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cap="all" spc="120" normalizeH="0" baseline="0"/>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8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spPr>
      <a:ln w="9525" cap="flat" cmpd="sng" algn="ctr">
        <a:solidFill>
          <a:schemeClr val="dk1">
            <a:lumMod val="15000"/>
            <a:lumOff val="85000"/>
          </a:schemeClr>
        </a:solidFill>
        <a:round/>
      </a:ln>
    </cs:spPr>
    <cs:defRPr sz="900" kern="1200"/>
  </cs:valueAxis>
  <cs:wall>
    <cs:lnRef idx="0"/>
    <cs:fillRef idx="0"/>
    <cs:effectRef idx="0"/>
    <cs:fontRef idx="minor">
      <a:schemeClr val="dk1"/>
    </cs:fontRef>
  </cs:wall>
</cs:chartStyle>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7C1CFE-7D68-4499-A1DE-AF57D6C058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382</TotalTime>
  <Pages>9</Pages>
  <Words>2023</Words>
  <Characters>11537</Characters>
  <Application>Microsoft Office Word</Application>
  <DocSecurity>0</DocSecurity>
  <Lines>96</Lines>
  <Paragraphs>27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13533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Md Saifur Rahman</cp:lastModifiedBy>
  <cp:revision>109</cp:revision>
  <cp:lastPrinted>2012-03-15T10:36:00Z</cp:lastPrinted>
  <dcterms:created xsi:type="dcterms:W3CDTF">2017-02-06T19:10:00Z</dcterms:created>
  <dcterms:modified xsi:type="dcterms:W3CDTF">2017-05-04T16:39:00Z</dcterms:modified>
</cp:coreProperties>
</file>